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2467"/>
        <w:gridCol w:w="3045"/>
      </w:tblGrid>
      <w:tr w:rsidR="001624D9" w14:paraId="6C38E0D5" w14:textId="77777777" w:rsidTr="001624D9">
        <w:tc>
          <w:tcPr>
            <w:tcW w:w="3396" w:type="dxa"/>
          </w:tcPr>
          <w:p w14:paraId="702CB547" w14:textId="0735D85F" w:rsidR="001624D9" w:rsidRDefault="001624D9" w:rsidP="00BB7452">
            <w:pPr>
              <w:rPr>
                <w:rFonts w:asciiTheme="majorHAnsi" w:hAnsiTheme="majorHAnsi"/>
                <w:b/>
                <w:color w:val="1F497D" w:themeColor="text2"/>
              </w:rPr>
            </w:pPr>
            <w:r>
              <w:rPr>
                <w:noProof/>
                <w:lang w:val="en-GB" w:eastAsia="en-GB"/>
              </w:rPr>
              <w:drawing>
                <wp:inline distT="0" distB="0" distL="0" distR="0" wp14:anchorId="37BA5BED" wp14:editId="06503185">
                  <wp:extent cx="2255666"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B_EU_SLOGAN_B_French_RVB_3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2872" cy="1012876"/>
                          </a:xfrm>
                          <a:prstGeom prst="rect">
                            <a:avLst/>
                          </a:prstGeom>
                        </pic:spPr>
                      </pic:pic>
                    </a:graphicData>
                  </a:graphic>
                </wp:inline>
              </w:drawing>
            </w:r>
          </w:p>
        </w:tc>
        <w:tc>
          <w:tcPr>
            <w:tcW w:w="2608" w:type="dxa"/>
          </w:tcPr>
          <w:p w14:paraId="7E33606C" w14:textId="58234470" w:rsidR="001624D9" w:rsidRDefault="001624D9" w:rsidP="00BB7452">
            <w:pPr>
              <w:rPr>
                <w:rFonts w:asciiTheme="majorHAnsi" w:hAnsiTheme="majorHAnsi"/>
                <w:b/>
                <w:color w:val="1F497D" w:themeColor="text2"/>
              </w:rPr>
            </w:pPr>
            <w:r>
              <w:rPr>
                <w:noProof/>
                <w:lang w:val="en-GB" w:eastAsia="en-GB"/>
              </w:rPr>
              <w:drawing>
                <wp:inline distT="0" distB="0" distL="0" distR="0" wp14:anchorId="5C055DCB" wp14:editId="54EC1E2B">
                  <wp:extent cx="1333795" cy="9230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fr-rvb-h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6140" cy="924649"/>
                          </a:xfrm>
                          <a:prstGeom prst="rect">
                            <a:avLst/>
                          </a:prstGeom>
                        </pic:spPr>
                      </pic:pic>
                    </a:graphicData>
                  </a:graphic>
                </wp:inline>
              </w:drawing>
            </w:r>
          </w:p>
        </w:tc>
        <w:tc>
          <w:tcPr>
            <w:tcW w:w="3276" w:type="dxa"/>
          </w:tcPr>
          <w:p w14:paraId="14070433" w14:textId="0C46DDCC" w:rsidR="001624D9" w:rsidRDefault="001624D9" w:rsidP="00BB7452">
            <w:pPr>
              <w:rPr>
                <w:rFonts w:asciiTheme="majorHAnsi" w:hAnsiTheme="majorHAnsi"/>
                <w:b/>
                <w:color w:val="1F497D" w:themeColor="text2"/>
              </w:rPr>
            </w:pPr>
            <w:r>
              <w:rPr>
                <w:noProof/>
                <w:lang w:val="en-GB" w:eastAsia="en-GB"/>
              </w:rPr>
              <w:drawing>
                <wp:inline distT="0" distB="0" distL="0" distR="0" wp14:anchorId="15B794A8" wp14:editId="57F9BB13">
                  <wp:extent cx="1638300" cy="707746"/>
                  <wp:effectExtent l="0" t="0" r="0" b="0"/>
                  <wp:docPr id="1" name="Image 0" descr="Logo-DaV-HauteDefinition-fond-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V-HauteDefinition-fond-transparent.png"/>
                          <pic:cNvPicPr/>
                        </pic:nvPicPr>
                        <pic:blipFill>
                          <a:blip r:embed="rId11" cstate="print"/>
                          <a:stretch>
                            <a:fillRect/>
                          </a:stretch>
                        </pic:blipFill>
                        <pic:spPr>
                          <a:xfrm>
                            <a:off x="0" y="0"/>
                            <a:ext cx="1640797" cy="708825"/>
                          </a:xfrm>
                          <a:prstGeom prst="rect">
                            <a:avLst/>
                          </a:prstGeom>
                        </pic:spPr>
                      </pic:pic>
                    </a:graphicData>
                  </a:graphic>
                </wp:inline>
              </w:drawing>
            </w:r>
          </w:p>
        </w:tc>
      </w:tr>
    </w:tbl>
    <w:p w14:paraId="6FE4EF5B" w14:textId="77777777" w:rsidR="00710D21" w:rsidRPr="001624D9" w:rsidRDefault="00710D21" w:rsidP="00BB7452">
      <w:pPr>
        <w:rPr>
          <w:rFonts w:asciiTheme="majorHAnsi" w:hAnsiTheme="majorHAnsi"/>
          <w:b/>
        </w:rPr>
      </w:pPr>
    </w:p>
    <w:p w14:paraId="39469387" w14:textId="77777777" w:rsidR="00817E4E" w:rsidRDefault="00817E4E" w:rsidP="00BB7452">
      <w:pPr>
        <w:rPr>
          <w:rFonts w:ascii="Arial" w:hAnsi="Arial"/>
          <w:b/>
          <w:sz w:val="20"/>
          <w:szCs w:val="20"/>
        </w:rPr>
      </w:pPr>
      <w:r w:rsidRPr="001624D9">
        <w:rPr>
          <w:rFonts w:ascii="Arial" w:hAnsi="Arial"/>
          <w:b/>
          <w:sz w:val="20"/>
          <w:szCs w:val="20"/>
        </w:rPr>
        <w:t xml:space="preserve">COMMUNIQUE DE PRESSE CONJOINT </w:t>
      </w:r>
    </w:p>
    <w:p w14:paraId="0EDE4A2E" w14:textId="00D073BF" w:rsidR="001624D9" w:rsidRPr="001624D9" w:rsidRDefault="001624D9" w:rsidP="00BB7452">
      <w:pPr>
        <w:rPr>
          <w:rFonts w:ascii="Arial" w:hAnsi="Arial"/>
          <w:sz w:val="20"/>
          <w:szCs w:val="20"/>
        </w:rPr>
      </w:pPr>
      <w:r w:rsidRPr="001624D9">
        <w:rPr>
          <w:rFonts w:ascii="Arial" w:hAnsi="Arial"/>
          <w:sz w:val="20"/>
          <w:szCs w:val="20"/>
        </w:rPr>
        <w:t>2017-249-FR</w:t>
      </w:r>
    </w:p>
    <w:p w14:paraId="5664460E" w14:textId="77777777" w:rsidR="00817E4E" w:rsidRPr="001624D9" w:rsidRDefault="00817E4E" w:rsidP="00BB7452">
      <w:pPr>
        <w:rPr>
          <w:rFonts w:ascii="Arial" w:hAnsi="Arial"/>
          <w:b/>
          <w:sz w:val="20"/>
          <w:szCs w:val="20"/>
        </w:rPr>
      </w:pPr>
    </w:p>
    <w:p w14:paraId="20437175" w14:textId="331AE08D" w:rsidR="00817E4E" w:rsidRPr="001624D9" w:rsidRDefault="001624D9" w:rsidP="00BB7452">
      <w:pPr>
        <w:rPr>
          <w:rFonts w:ascii="Arial" w:hAnsi="Arial"/>
          <w:color w:val="000000" w:themeColor="text1"/>
          <w:sz w:val="20"/>
          <w:szCs w:val="20"/>
        </w:rPr>
      </w:pPr>
      <w:r>
        <w:rPr>
          <w:rFonts w:ascii="Arial" w:hAnsi="Arial"/>
          <w:color w:val="000000" w:themeColor="text1"/>
          <w:sz w:val="20"/>
          <w:szCs w:val="20"/>
        </w:rPr>
        <w:t xml:space="preserve">Paris, </w:t>
      </w:r>
      <w:r w:rsidRPr="001624D9">
        <w:rPr>
          <w:rFonts w:ascii="Arial" w:hAnsi="Arial"/>
          <w:color w:val="000000" w:themeColor="text1"/>
          <w:sz w:val="20"/>
          <w:szCs w:val="20"/>
        </w:rPr>
        <w:t>le 22 septembre 2017</w:t>
      </w:r>
    </w:p>
    <w:p w14:paraId="5D6D734C" w14:textId="77777777" w:rsidR="001624D9" w:rsidRPr="001624D9" w:rsidRDefault="001624D9" w:rsidP="00BB7452">
      <w:pPr>
        <w:rPr>
          <w:rFonts w:ascii="Arial" w:hAnsi="Arial"/>
          <w:b/>
          <w:sz w:val="20"/>
          <w:szCs w:val="20"/>
        </w:rPr>
      </w:pPr>
    </w:p>
    <w:p w14:paraId="292551EC" w14:textId="77777777" w:rsidR="001624D9" w:rsidRDefault="001624D9" w:rsidP="00BB7452">
      <w:pPr>
        <w:widowControl w:val="0"/>
        <w:autoSpaceDE w:val="0"/>
        <w:autoSpaceDN w:val="0"/>
        <w:adjustRightInd w:val="0"/>
        <w:jc w:val="center"/>
        <w:rPr>
          <w:rFonts w:ascii="Arial" w:hAnsi="Arial" w:cs="Times"/>
          <w:b/>
          <w:bCs/>
          <w:szCs w:val="20"/>
        </w:rPr>
      </w:pPr>
    </w:p>
    <w:p w14:paraId="364DD9A1" w14:textId="77777777" w:rsidR="004527F3" w:rsidRPr="001624D9" w:rsidRDefault="004527F3" w:rsidP="00BB7452">
      <w:pPr>
        <w:widowControl w:val="0"/>
        <w:autoSpaceDE w:val="0"/>
        <w:autoSpaceDN w:val="0"/>
        <w:adjustRightInd w:val="0"/>
        <w:jc w:val="center"/>
        <w:rPr>
          <w:rFonts w:ascii="Arial" w:hAnsi="Arial" w:cs="Helvetica"/>
          <w:szCs w:val="20"/>
        </w:rPr>
      </w:pPr>
      <w:r w:rsidRPr="001624D9">
        <w:rPr>
          <w:rFonts w:ascii="Arial" w:hAnsi="Arial" w:cs="Times"/>
          <w:b/>
          <w:bCs/>
          <w:szCs w:val="20"/>
        </w:rPr>
        <w:t>L’Europe finance Da Volterra à hauteur de 20 millions d’euros pour accélérer le développement de ses solutions innovantes dans la prévention et le traitement des infections liées à la résistance aux antibiotiques</w:t>
      </w:r>
    </w:p>
    <w:p w14:paraId="600EE0AC" w14:textId="77777777" w:rsidR="00DD2ACC" w:rsidRPr="001624D9" w:rsidRDefault="00DD2ACC" w:rsidP="00BB7452">
      <w:pPr>
        <w:jc w:val="center"/>
        <w:rPr>
          <w:rFonts w:ascii="Arial" w:hAnsi="Arial"/>
          <w:b/>
          <w:bCs/>
          <w:i/>
          <w:iCs/>
          <w:color w:val="244061" w:themeColor="accent1" w:themeShade="80"/>
          <w:sz w:val="20"/>
          <w:szCs w:val="20"/>
        </w:rPr>
      </w:pPr>
    </w:p>
    <w:p w14:paraId="119AE957" w14:textId="3EEE7B66" w:rsidR="00817E4E" w:rsidRDefault="00817E4E" w:rsidP="00BB7452">
      <w:pPr>
        <w:pStyle w:val="NormalWeb"/>
        <w:spacing w:before="0" w:beforeAutospacing="0" w:after="0" w:afterAutospacing="0"/>
        <w:jc w:val="both"/>
        <w:rPr>
          <w:rFonts w:ascii="Arial" w:hAnsi="Arial"/>
          <w:color w:val="000000" w:themeColor="text1"/>
        </w:rPr>
      </w:pPr>
      <w:r w:rsidRPr="001624D9">
        <w:rPr>
          <w:rFonts w:ascii="Arial" w:hAnsi="Arial"/>
          <w:color w:val="000000" w:themeColor="text1"/>
        </w:rPr>
        <w:t xml:space="preserve">La Banque européenne d’investissement (BEI) et la société biopharmaceutique Da Volterra annoncent ce jour qu’ils ont conclu un accord de financement de 20 millions d’euros. </w:t>
      </w:r>
    </w:p>
    <w:p w14:paraId="4696F798" w14:textId="77777777" w:rsidR="00BB7452" w:rsidRPr="001624D9" w:rsidRDefault="00BB7452" w:rsidP="00BB7452">
      <w:pPr>
        <w:pStyle w:val="NormalWeb"/>
        <w:spacing w:before="0" w:beforeAutospacing="0" w:after="0" w:afterAutospacing="0"/>
        <w:jc w:val="both"/>
        <w:rPr>
          <w:rFonts w:ascii="Arial" w:hAnsi="Arial"/>
          <w:color w:val="000000" w:themeColor="text1"/>
        </w:rPr>
      </w:pPr>
    </w:p>
    <w:p w14:paraId="09433B9A" w14:textId="77777777" w:rsidR="0077534A" w:rsidRDefault="00817E4E" w:rsidP="00BB7452">
      <w:pPr>
        <w:pStyle w:val="NormalWeb"/>
        <w:spacing w:before="0" w:beforeAutospacing="0" w:after="0" w:afterAutospacing="0"/>
        <w:jc w:val="both"/>
        <w:rPr>
          <w:rFonts w:ascii="Arial" w:hAnsi="Arial" w:cs="Arial"/>
          <w:color w:val="000000" w:themeColor="text1"/>
        </w:rPr>
      </w:pPr>
      <w:r w:rsidRPr="001624D9">
        <w:rPr>
          <w:rFonts w:ascii="Arial" w:hAnsi="Arial"/>
          <w:color w:val="000000" w:themeColor="text1"/>
        </w:rPr>
        <w:t xml:space="preserve">Il s’agit d’un financement clé, dédié </w:t>
      </w:r>
      <w:r w:rsidRPr="001624D9">
        <w:rPr>
          <w:rFonts w:ascii="Arial" w:hAnsi="Arial" w:cs="Arial"/>
          <w:color w:val="000000" w:themeColor="text1"/>
        </w:rPr>
        <w:t>aux d</w:t>
      </w:r>
      <w:r w:rsidRPr="001624D9">
        <w:rPr>
          <w:rFonts w:ascii="Arial" w:eastAsia="Calibri" w:hAnsi="Arial" w:cs="Calibri"/>
          <w:color w:val="000000" w:themeColor="text1"/>
        </w:rPr>
        <w:t>é</w:t>
      </w:r>
      <w:r w:rsidRPr="001624D9">
        <w:rPr>
          <w:rFonts w:ascii="Arial" w:hAnsi="Arial" w:cs="Arial"/>
          <w:color w:val="000000" w:themeColor="text1"/>
        </w:rPr>
        <w:t xml:space="preserve">veloppements cliniques de Da Volterra pour la prévention et le traitement des maladies infectieuses graves et les maladies nosocomiales dans un contexte lié à la résistance aux antibiotiques. </w:t>
      </w:r>
    </w:p>
    <w:p w14:paraId="28A56859" w14:textId="77777777" w:rsidR="00BB7452" w:rsidRPr="001624D9" w:rsidRDefault="00BB7452" w:rsidP="00BB7452">
      <w:pPr>
        <w:pStyle w:val="NormalWeb"/>
        <w:spacing w:before="0" w:beforeAutospacing="0" w:after="0" w:afterAutospacing="0"/>
        <w:jc w:val="both"/>
        <w:rPr>
          <w:rFonts w:ascii="Arial" w:hAnsi="Arial" w:cs="Arial"/>
          <w:color w:val="000000" w:themeColor="text1"/>
        </w:rPr>
      </w:pPr>
    </w:p>
    <w:p w14:paraId="5266CEFB" w14:textId="0ABC2BEC" w:rsidR="00AB70BC" w:rsidRDefault="00AB70BC" w:rsidP="00BB7452">
      <w:pPr>
        <w:pStyle w:val="NormalWeb"/>
        <w:spacing w:before="0" w:beforeAutospacing="0" w:after="0" w:afterAutospacing="0"/>
        <w:jc w:val="both"/>
        <w:rPr>
          <w:rFonts w:ascii="Arial" w:hAnsi="Arial" w:cs="Arial"/>
          <w:i/>
          <w:color w:val="000000" w:themeColor="text1"/>
        </w:rPr>
      </w:pPr>
      <w:r w:rsidRPr="001624D9">
        <w:rPr>
          <w:rFonts w:ascii="Arial" w:hAnsi="Arial" w:cs="Arial"/>
          <w:color w:val="000000" w:themeColor="text1"/>
        </w:rPr>
        <w:t xml:space="preserve">Carlos </w:t>
      </w:r>
      <w:proofErr w:type="spellStart"/>
      <w:r w:rsidRPr="001624D9">
        <w:rPr>
          <w:rFonts w:ascii="Arial" w:hAnsi="Arial" w:cs="Arial"/>
          <w:color w:val="000000" w:themeColor="text1"/>
        </w:rPr>
        <w:t>Moedas</w:t>
      </w:r>
      <w:proofErr w:type="spellEnd"/>
      <w:r w:rsidRPr="001624D9">
        <w:rPr>
          <w:rFonts w:ascii="Arial" w:hAnsi="Arial" w:cs="Arial"/>
          <w:color w:val="000000" w:themeColor="text1"/>
        </w:rPr>
        <w:t xml:space="preserve">, commissaire européen à la Recherche, à la Science et à l’Innovation, a déclaré́ : </w:t>
      </w:r>
      <w:r w:rsidRPr="001624D9">
        <w:rPr>
          <w:rFonts w:ascii="Arial" w:hAnsi="Arial" w:cs="Arial"/>
          <w:i/>
          <w:color w:val="000000" w:themeColor="text1"/>
        </w:rPr>
        <w:t>«</w:t>
      </w:r>
      <w:r w:rsidR="007B5CF5">
        <w:rPr>
          <w:rFonts w:ascii="Arial" w:hAnsi="Arial" w:cs="Arial"/>
          <w:i/>
          <w:color w:val="000000" w:themeColor="text1"/>
        </w:rPr>
        <w:t> </w:t>
      </w:r>
      <w:r w:rsidRPr="001624D9">
        <w:rPr>
          <w:rFonts w:ascii="Arial" w:hAnsi="Arial" w:cs="Arial"/>
          <w:i/>
          <w:color w:val="000000" w:themeColor="text1"/>
        </w:rPr>
        <w:t xml:space="preserve">Cette opération réalisée au titre du mécanisme </w:t>
      </w:r>
      <w:proofErr w:type="spellStart"/>
      <w:r w:rsidRPr="001624D9">
        <w:rPr>
          <w:rFonts w:ascii="Arial" w:hAnsi="Arial" w:cs="Arial"/>
          <w:i/>
          <w:color w:val="000000" w:themeColor="text1"/>
        </w:rPr>
        <w:t>InnovFin</w:t>
      </w:r>
      <w:proofErr w:type="spellEnd"/>
      <w:r w:rsidRPr="001624D9">
        <w:rPr>
          <w:rFonts w:ascii="Arial" w:hAnsi="Arial" w:cs="Arial"/>
          <w:i/>
          <w:color w:val="000000" w:themeColor="text1"/>
        </w:rPr>
        <w:t xml:space="preserve"> démontre la détermination de l’UE à s’attaquer aux grands problèmes de santé publique. Nous espérons que ce financement contribuera à améliorer la qualité́ de vie des personnes atteintes par des maladies infectieuses et réduira les risques de développement de résistance aux antibiotiques."</w:t>
      </w:r>
    </w:p>
    <w:p w14:paraId="6CA0E7E9" w14:textId="77777777" w:rsidR="00BB7452" w:rsidRPr="001624D9" w:rsidRDefault="00BB7452" w:rsidP="00BB7452">
      <w:pPr>
        <w:pStyle w:val="NormalWeb"/>
        <w:spacing w:before="0" w:beforeAutospacing="0" w:after="0" w:afterAutospacing="0"/>
        <w:jc w:val="both"/>
        <w:rPr>
          <w:rFonts w:ascii="Arial" w:hAnsi="Arial" w:cs="Arial"/>
          <w:i/>
          <w:color w:val="000000" w:themeColor="text1"/>
        </w:rPr>
      </w:pPr>
    </w:p>
    <w:p w14:paraId="55290D08" w14:textId="1AC1D863" w:rsidR="00E02E1F" w:rsidRDefault="00E02E1F" w:rsidP="00BB7452">
      <w:pPr>
        <w:pStyle w:val="NormalWeb"/>
        <w:spacing w:before="0" w:beforeAutospacing="0" w:after="0" w:afterAutospacing="0"/>
        <w:jc w:val="both"/>
        <w:rPr>
          <w:rFonts w:ascii="Arial" w:hAnsi="Arial"/>
          <w:i/>
        </w:rPr>
      </w:pPr>
      <w:r w:rsidRPr="001624D9">
        <w:rPr>
          <w:rFonts w:ascii="Arial" w:hAnsi="Arial"/>
          <w:i/>
        </w:rPr>
        <w:t xml:space="preserve">« Le soutien à l’innovation et aux entreprises est une priorité́ d’action pour la Banque de l’Union européenne. Il est de notre responsabilité́ de créer les conditions optimales au financement de la recherche dans les </w:t>
      </w:r>
      <w:proofErr w:type="spellStart"/>
      <w:r w:rsidRPr="001624D9">
        <w:rPr>
          <w:rFonts w:ascii="Arial" w:hAnsi="Arial"/>
          <w:i/>
        </w:rPr>
        <w:t>biotechs</w:t>
      </w:r>
      <w:proofErr w:type="spellEnd"/>
      <w:r w:rsidRPr="001624D9">
        <w:rPr>
          <w:rFonts w:ascii="Arial" w:hAnsi="Arial"/>
          <w:i/>
        </w:rPr>
        <w:t xml:space="preserve">, ce qui est essentiel à la mise au point de nouveaux traitements » a souligné le Vice-Président de la BEI, M. Ambroise Fayolle. « Le besoin médical est croissant en ce domaine. C’est pourquoi la BEI est très heureuse d’accompagner Da Volterra pour l’ensemble de ses projets d’innovation et de développement sur la résistance bactérienne aux antibiotiques. C’est un financement innovant qui aura un fort impact sur la santé et la vie quotidienne des citoyens européens.» </w:t>
      </w:r>
    </w:p>
    <w:p w14:paraId="73EDBDB8" w14:textId="77777777" w:rsidR="00BB7452" w:rsidRPr="001624D9" w:rsidRDefault="00BB7452" w:rsidP="00BB7452">
      <w:pPr>
        <w:pStyle w:val="NormalWeb"/>
        <w:spacing w:before="0" w:beforeAutospacing="0" w:after="0" w:afterAutospacing="0"/>
        <w:jc w:val="both"/>
        <w:rPr>
          <w:rFonts w:ascii="Arial" w:hAnsi="Arial" w:cs="Arial"/>
          <w:color w:val="000000" w:themeColor="text1"/>
        </w:rPr>
      </w:pPr>
    </w:p>
    <w:p w14:paraId="3F9B2B0F" w14:textId="484C0E26" w:rsidR="00787C32" w:rsidRDefault="00817E4E" w:rsidP="00BB7452">
      <w:pPr>
        <w:jc w:val="both"/>
        <w:rPr>
          <w:rFonts w:ascii="Arial" w:hAnsi="Arial"/>
          <w:sz w:val="20"/>
          <w:szCs w:val="20"/>
        </w:rPr>
      </w:pPr>
      <w:r w:rsidRPr="001624D9">
        <w:rPr>
          <w:rFonts w:ascii="Arial" w:hAnsi="Arial" w:cs="Times New Roman"/>
          <w:i/>
          <w:sz w:val="20"/>
          <w:szCs w:val="20"/>
          <w:lang w:eastAsia="fr-FR"/>
        </w:rPr>
        <w:t xml:space="preserve">« </w:t>
      </w:r>
      <w:r w:rsidR="00710D21" w:rsidRPr="001624D9">
        <w:rPr>
          <w:rFonts w:ascii="Arial" w:hAnsi="Arial" w:cs="Times New Roman"/>
          <w:i/>
          <w:sz w:val="20"/>
          <w:szCs w:val="20"/>
          <w:lang w:eastAsia="fr-FR"/>
        </w:rPr>
        <w:t xml:space="preserve">Nous sommes très honorés de l’engagement </w:t>
      </w:r>
      <w:r w:rsidR="008B3702" w:rsidRPr="001624D9">
        <w:rPr>
          <w:rFonts w:ascii="Arial" w:hAnsi="Arial" w:cs="Times New Roman"/>
          <w:i/>
          <w:sz w:val="20"/>
          <w:szCs w:val="20"/>
          <w:lang w:eastAsia="fr-FR"/>
        </w:rPr>
        <w:t xml:space="preserve">dans Da Volterra </w:t>
      </w:r>
      <w:r w:rsidR="00710D21" w:rsidRPr="001624D9">
        <w:rPr>
          <w:rFonts w:ascii="Arial" w:hAnsi="Arial" w:cs="Times New Roman"/>
          <w:i/>
          <w:sz w:val="20"/>
          <w:szCs w:val="20"/>
          <w:lang w:eastAsia="fr-FR"/>
        </w:rPr>
        <w:t xml:space="preserve">de la BEI. </w:t>
      </w:r>
      <w:r w:rsidR="008B3702" w:rsidRPr="001624D9">
        <w:rPr>
          <w:rFonts w:ascii="Arial" w:hAnsi="Arial" w:cs="Times New Roman"/>
          <w:i/>
          <w:sz w:val="20"/>
          <w:szCs w:val="20"/>
          <w:lang w:eastAsia="fr-FR"/>
        </w:rPr>
        <w:t xml:space="preserve">Le prêt de cette dernière nous procure des moyens complémentaires substantiels pour faire avancer nos programmes de recherche dans un domaine critique, celui des infections bactériennes graves. Ce prêt de la BEI est à la hauteur </w:t>
      </w:r>
      <w:r w:rsidR="008B3702" w:rsidRPr="001624D9">
        <w:rPr>
          <w:rFonts w:ascii="Arial" w:hAnsi="Arial" w:cs="Calibri"/>
          <w:i/>
          <w:sz w:val="20"/>
          <w:szCs w:val="20"/>
        </w:rPr>
        <w:t>du défi posé par les bactéries multi-résistantes et les multiples risques infectieux actuels. Ainsi Da Volterra compte parmi les rares sociétés au monde à disposer d’un nouvel agent en développement clinique pour la prévention des infections à Clostridium difficile</w:t>
      </w:r>
      <w:r w:rsidR="0054279F" w:rsidRPr="001624D9">
        <w:rPr>
          <w:rFonts w:ascii="Arial" w:hAnsi="Arial" w:cs="Calibri"/>
          <w:i/>
          <w:sz w:val="20"/>
          <w:szCs w:val="20"/>
        </w:rPr>
        <w:t xml:space="preserve"> et à l’émergence de bactéries résistantes</w:t>
      </w:r>
      <w:r w:rsidR="008B3702" w:rsidRPr="001624D9">
        <w:rPr>
          <w:rFonts w:ascii="Arial" w:hAnsi="Arial" w:cs="Calibri"/>
          <w:i/>
          <w:sz w:val="20"/>
          <w:szCs w:val="20"/>
        </w:rPr>
        <w:t xml:space="preserve">, en protégeant la flore intestinale des altérations induites </w:t>
      </w:r>
      <w:r w:rsidR="00787C32" w:rsidRPr="001624D9">
        <w:rPr>
          <w:rFonts w:ascii="Arial" w:hAnsi="Arial" w:cs="Calibri"/>
          <w:i/>
          <w:sz w:val="20"/>
          <w:szCs w:val="20"/>
        </w:rPr>
        <w:t>par les</w:t>
      </w:r>
      <w:r w:rsidR="008B3702" w:rsidRPr="001624D9">
        <w:rPr>
          <w:rFonts w:ascii="Arial" w:hAnsi="Arial" w:cs="Calibri"/>
          <w:i/>
          <w:sz w:val="20"/>
          <w:szCs w:val="20"/>
        </w:rPr>
        <w:t xml:space="preserve"> traitements </w:t>
      </w:r>
      <w:r w:rsidR="00787C32" w:rsidRPr="001624D9">
        <w:rPr>
          <w:rFonts w:ascii="Arial" w:hAnsi="Arial" w:cs="Calibri"/>
          <w:i/>
          <w:sz w:val="20"/>
          <w:szCs w:val="20"/>
        </w:rPr>
        <w:t>antibiotiques »</w:t>
      </w:r>
      <w:r w:rsidR="007524A5" w:rsidRPr="001624D9">
        <w:rPr>
          <w:rFonts w:ascii="Arial" w:hAnsi="Arial" w:cs="Calibri"/>
          <w:sz w:val="20"/>
          <w:szCs w:val="20"/>
        </w:rPr>
        <w:t xml:space="preserve">, a conclu Florence Séjourné, Présidente </w:t>
      </w:r>
      <w:r w:rsidR="008B3702" w:rsidRPr="001624D9">
        <w:rPr>
          <w:rFonts w:ascii="Arial" w:hAnsi="Arial"/>
          <w:sz w:val="20"/>
          <w:szCs w:val="20"/>
        </w:rPr>
        <w:t xml:space="preserve">de Da Volterra. </w:t>
      </w:r>
    </w:p>
    <w:p w14:paraId="0294213A" w14:textId="77777777" w:rsidR="00BB7452" w:rsidRPr="001624D9" w:rsidRDefault="00BB7452" w:rsidP="00BB7452">
      <w:pPr>
        <w:jc w:val="both"/>
        <w:rPr>
          <w:rFonts w:ascii="Arial" w:hAnsi="Arial" w:cs="Times New Roman"/>
          <w:sz w:val="20"/>
          <w:szCs w:val="20"/>
          <w:lang w:eastAsia="fr-FR"/>
        </w:rPr>
      </w:pPr>
    </w:p>
    <w:p w14:paraId="400EF560" w14:textId="0FF89E2A" w:rsidR="00787C32" w:rsidRDefault="00817E4E" w:rsidP="00BB7452">
      <w:pPr>
        <w:jc w:val="both"/>
        <w:rPr>
          <w:rFonts w:ascii="Arial" w:hAnsi="Arial" w:cs="Arial"/>
          <w:sz w:val="20"/>
          <w:szCs w:val="20"/>
          <w:lang w:eastAsia="fr-FR"/>
        </w:rPr>
      </w:pPr>
      <w:r w:rsidRPr="001624D9">
        <w:rPr>
          <w:rFonts w:ascii="Arial" w:hAnsi="Arial" w:cs="Arial"/>
          <w:sz w:val="20"/>
          <w:szCs w:val="20"/>
          <w:lang w:eastAsia="fr-FR"/>
        </w:rPr>
        <w:t xml:space="preserve">Le soutien de la BEI au </w:t>
      </w:r>
      <w:r w:rsidR="00787C32" w:rsidRPr="001624D9">
        <w:rPr>
          <w:rFonts w:ascii="Arial" w:hAnsi="Arial" w:cs="Arial"/>
          <w:sz w:val="20"/>
          <w:szCs w:val="20"/>
          <w:lang w:eastAsia="fr-FR"/>
        </w:rPr>
        <w:t>développement</w:t>
      </w:r>
      <w:r w:rsidRPr="001624D9">
        <w:rPr>
          <w:rFonts w:ascii="Arial" w:hAnsi="Arial" w:cs="Arial"/>
          <w:sz w:val="20"/>
          <w:szCs w:val="20"/>
          <w:lang w:eastAsia="fr-FR"/>
        </w:rPr>
        <w:t xml:space="preserve"> de </w:t>
      </w:r>
      <w:r w:rsidR="00787C32" w:rsidRPr="001624D9">
        <w:rPr>
          <w:rFonts w:ascii="Arial" w:hAnsi="Arial" w:cs="Arial"/>
          <w:sz w:val="20"/>
          <w:szCs w:val="20"/>
          <w:lang w:eastAsia="fr-FR"/>
        </w:rPr>
        <w:t>Da Volterra</w:t>
      </w:r>
      <w:r w:rsidRPr="001624D9">
        <w:rPr>
          <w:rFonts w:ascii="Arial" w:hAnsi="Arial" w:cs="Arial"/>
          <w:sz w:val="20"/>
          <w:szCs w:val="20"/>
          <w:lang w:eastAsia="fr-FR"/>
        </w:rPr>
        <w:t xml:space="preserve"> s’inscrit dans le cadre de l’initiative Horizon 2020 et notamment du Programme « </w:t>
      </w:r>
      <w:proofErr w:type="spellStart"/>
      <w:r w:rsidRPr="001624D9">
        <w:rPr>
          <w:rFonts w:ascii="Arial" w:hAnsi="Arial" w:cs="Arial"/>
          <w:sz w:val="20"/>
          <w:szCs w:val="20"/>
          <w:lang w:eastAsia="fr-FR"/>
        </w:rPr>
        <w:t>InnovFin</w:t>
      </w:r>
      <w:proofErr w:type="spellEnd"/>
      <w:r w:rsidRPr="001624D9">
        <w:rPr>
          <w:rFonts w:ascii="Arial" w:hAnsi="Arial" w:cs="Arial"/>
          <w:sz w:val="20"/>
          <w:szCs w:val="20"/>
          <w:lang w:eastAsia="fr-FR"/>
        </w:rPr>
        <w:t xml:space="preserve"> IDFF – financement </w:t>
      </w:r>
      <w:r w:rsidR="00787C32" w:rsidRPr="001624D9">
        <w:rPr>
          <w:rFonts w:ascii="Arial" w:hAnsi="Arial" w:cs="Arial"/>
          <w:sz w:val="20"/>
          <w:szCs w:val="20"/>
          <w:lang w:eastAsia="fr-FR"/>
        </w:rPr>
        <w:t>europ</w:t>
      </w:r>
      <w:r w:rsidR="00787C32" w:rsidRPr="001624D9">
        <w:rPr>
          <w:rFonts w:ascii="Arial" w:eastAsia="Calibri" w:hAnsi="Arial" w:cs="Calibri"/>
          <w:sz w:val="20"/>
          <w:szCs w:val="20"/>
          <w:lang w:eastAsia="fr-FR"/>
        </w:rPr>
        <w:t>ée</w:t>
      </w:r>
      <w:r w:rsidR="00787C32" w:rsidRPr="001624D9">
        <w:rPr>
          <w:rFonts w:ascii="Arial" w:hAnsi="Arial" w:cs="Arial"/>
          <w:sz w:val="20"/>
          <w:szCs w:val="20"/>
          <w:lang w:eastAsia="fr-FR"/>
        </w:rPr>
        <w:t>n</w:t>
      </w:r>
      <w:r w:rsidRPr="001624D9">
        <w:rPr>
          <w:rFonts w:ascii="Arial" w:hAnsi="Arial" w:cs="Arial"/>
          <w:sz w:val="20"/>
          <w:szCs w:val="20"/>
          <w:lang w:eastAsia="fr-FR"/>
        </w:rPr>
        <w:t xml:space="preserve"> de l’innovation, </w:t>
      </w:r>
      <w:proofErr w:type="spellStart"/>
      <w:r w:rsidRPr="001624D9">
        <w:rPr>
          <w:rFonts w:ascii="Arial" w:hAnsi="Arial" w:cs="Arial"/>
          <w:sz w:val="20"/>
          <w:szCs w:val="20"/>
          <w:lang w:eastAsia="fr-FR"/>
        </w:rPr>
        <w:t>Infectious</w:t>
      </w:r>
      <w:proofErr w:type="spellEnd"/>
      <w:r w:rsidRPr="001624D9">
        <w:rPr>
          <w:rFonts w:ascii="Arial" w:hAnsi="Arial" w:cs="Arial"/>
          <w:sz w:val="20"/>
          <w:szCs w:val="20"/>
          <w:lang w:eastAsia="fr-FR"/>
        </w:rPr>
        <w:t xml:space="preserve"> </w:t>
      </w:r>
      <w:proofErr w:type="spellStart"/>
      <w:r w:rsidRPr="001624D9">
        <w:rPr>
          <w:rFonts w:ascii="Arial" w:hAnsi="Arial" w:cs="Arial"/>
          <w:sz w:val="20"/>
          <w:szCs w:val="20"/>
          <w:lang w:eastAsia="fr-FR"/>
        </w:rPr>
        <w:t>Diseases</w:t>
      </w:r>
      <w:proofErr w:type="spellEnd"/>
      <w:r w:rsidRPr="001624D9">
        <w:rPr>
          <w:rFonts w:ascii="Arial" w:hAnsi="Arial" w:cs="Arial"/>
          <w:sz w:val="20"/>
          <w:szCs w:val="20"/>
          <w:lang w:eastAsia="fr-FR"/>
        </w:rPr>
        <w:t xml:space="preserve"> Finance Facility » qui offre des produits sur mesure pour le financement de projets </w:t>
      </w:r>
      <w:r w:rsidRPr="001624D9">
        <w:rPr>
          <w:rFonts w:ascii="Arial" w:eastAsia="Calibri" w:hAnsi="Arial" w:cs="Calibri"/>
          <w:sz w:val="20"/>
          <w:szCs w:val="20"/>
          <w:lang w:eastAsia="fr-FR"/>
        </w:rPr>
        <w:t>à</w:t>
      </w:r>
      <w:r w:rsidRPr="001624D9">
        <w:rPr>
          <w:rFonts w:ascii="Arial" w:hAnsi="Arial" w:cs="Arial"/>
          <w:sz w:val="20"/>
          <w:szCs w:val="20"/>
          <w:lang w:eastAsia="fr-FR"/>
        </w:rPr>
        <w:t xml:space="preserve"> haut risque dans le domaine des maladies infectieuses. Cet instrument permet de financer le </w:t>
      </w:r>
      <w:r w:rsidR="00787C32" w:rsidRPr="001624D9">
        <w:rPr>
          <w:rFonts w:ascii="Arial" w:hAnsi="Arial" w:cs="Arial"/>
          <w:sz w:val="20"/>
          <w:szCs w:val="20"/>
          <w:lang w:eastAsia="fr-FR"/>
        </w:rPr>
        <w:t>développement</w:t>
      </w:r>
      <w:r w:rsidRPr="001624D9">
        <w:rPr>
          <w:rFonts w:ascii="Arial" w:hAnsi="Arial" w:cs="Arial"/>
          <w:sz w:val="20"/>
          <w:szCs w:val="20"/>
          <w:lang w:eastAsia="fr-FR"/>
        </w:rPr>
        <w:t xml:space="preserve"> de vaccins, de </w:t>
      </w:r>
      <w:r w:rsidR="00787C32" w:rsidRPr="001624D9">
        <w:rPr>
          <w:rFonts w:ascii="Arial" w:hAnsi="Arial" w:cs="Arial"/>
          <w:sz w:val="20"/>
          <w:szCs w:val="20"/>
          <w:lang w:eastAsia="fr-FR"/>
        </w:rPr>
        <w:t>médicaments</w:t>
      </w:r>
      <w:r w:rsidRPr="001624D9">
        <w:rPr>
          <w:rFonts w:ascii="Arial" w:hAnsi="Arial" w:cs="Arial"/>
          <w:sz w:val="20"/>
          <w:szCs w:val="20"/>
          <w:lang w:eastAsia="fr-FR"/>
        </w:rPr>
        <w:t xml:space="preserve">, de dispositifs </w:t>
      </w:r>
      <w:proofErr w:type="spellStart"/>
      <w:r w:rsidRPr="001624D9">
        <w:rPr>
          <w:rFonts w:ascii="Arial" w:hAnsi="Arial" w:cs="Arial"/>
          <w:sz w:val="20"/>
          <w:szCs w:val="20"/>
          <w:lang w:eastAsia="fr-FR"/>
        </w:rPr>
        <w:t>médicaux</w:t>
      </w:r>
      <w:proofErr w:type="spellEnd"/>
      <w:r w:rsidRPr="001624D9">
        <w:rPr>
          <w:rFonts w:ascii="Arial" w:hAnsi="Arial" w:cs="Arial"/>
          <w:sz w:val="20"/>
          <w:szCs w:val="20"/>
          <w:lang w:eastAsia="fr-FR"/>
        </w:rPr>
        <w:t xml:space="preserve"> et de diagnostic, ainsi que des infrastructures de recherche. </w:t>
      </w:r>
    </w:p>
    <w:p w14:paraId="07CB5869" w14:textId="77777777" w:rsidR="00BB7452" w:rsidRPr="001624D9" w:rsidRDefault="00BB7452" w:rsidP="00BB7452">
      <w:pPr>
        <w:jc w:val="both"/>
        <w:rPr>
          <w:rFonts w:ascii="Arial" w:hAnsi="Arial" w:cs="Times New Roman"/>
          <w:sz w:val="20"/>
          <w:szCs w:val="20"/>
          <w:lang w:eastAsia="fr-FR"/>
        </w:rPr>
      </w:pPr>
    </w:p>
    <w:p w14:paraId="79E23018" w14:textId="5B815F16" w:rsidR="009C654D" w:rsidRPr="001624D9" w:rsidRDefault="00817E4E" w:rsidP="00BB7452">
      <w:pPr>
        <w:jc w:val="both"/>
        <w:rPr>
          <w:rFonts w:ascii="Arial" w:hAnsi="Arial" w:cs="Times New Roman"/>
          <w:sz w:val="20"/>
          <w:szCs w:val="20"/>
          <w:lang w:eastAsia="fr-FR"/>
        </w:rPr>
      </w:pPr>
      <w:r w:rsidRPr="001624D9">
        <w:rPr>
          <w:rFonts w:ascii="Arial" w:hAnsi="Arial" w:cs="Arial"/>
          <w:sz w:val="20"/>
          <w:szCs w:val="20"/>
          <w:lang w:eastAsia="fr-FR"/>
        </w:rPr>
        <w:t xml:space="preserve">Faisant de l’innovation une de ses </w:t>
      </w:r>
      <w:r w:rsidR="00787C32" w:rsidRPr="001624D9">
        <w:rPr>
          <w:rFonts w:ascii="Arial" w:hAnsi="Arial" w:cs="Arial"/>
          <w:sz w:val="20"/>
          <w:szCs w:val="20"/>
          <w:lang w:eastAsia="fr-FR"/>
        </w:rPr>
        <w:t>priorit</w:t>
      </w:r>
      <w:r w:rsidR="00787C32" w:rsidRPr="001624D9">
        <w:rPr>
          <w:rFonts w:ascii="Arial" w:eastAsia="Calibri" w:hAnsi="Arial" w:cs="Calibri"/>
          <w:sz w:val="20"/>
          <w:szCs w:val="20"/>
          <w:lang w:eastAsia="fr-FR"/>
        </w:rPr>
        <w:t>és</w:t>
      </w:r>
      <w:r w:rsidRPr="001624D9">
        <w:rPr>
          <w:rFonts w:ascii="Arial" w:hAnsi="Arial" w:cs="Arial"/>
          <w:sz w:val="20"/>
          <w:szCs w:val="20"/>
          <w:lang w:eastAsia="fr-FR"/>
        </w:rPr>
        <w:t xml:space="preserve"> d’action, le Groupe BEI a </w:t>
      </w:r>
      <w:r w:rsidR="0077534A" w:rsidRPr="001624D9">
        <w:rPr>
          <w:rFonts w:ascii="Arial" w:hAnsi="Arial" w:cs="Arial"/>
          <w:sz w:val="20"/>
          <w:szCs w:val="20"/>
          <w:lang w:eastAsia="fr-FR"/>
        </w:rPr>
        <w:t>consacr</w:t>
      </w:r>
      <w:r w:rsidR="0077534A" w:rsidRPr="001624D9">
        <w:rPr>
          <w:rFonts w:ascii="Arial" w:eastAsia="Calibri" w:hAnsi="Arial" w:cs="Calibri"/>
          <w:sz w:val="20"/>
          <w:szCs w:val="20"/>
          <w:lang w:eastAsia="fr-FR"/>
        </w:rPr>
        <w:t>é</w:t>
      </w:r>
      <w:r w:rsidR="00787C32" w:rsidRPr="001624D9">
        <w:rPr>
          <w:rFonts w:ascii="Arial" w:hAnsi="Arial" w:cs="Arial"/>
          <w:sz w:val="20"/>
          <w:szCs w:val="20"/>
          <w:lang w:eastAsia="fr-FR"/>
        </w:rPr>
        <w:t xml:space="preserve"> </w:t>
      </w:r>
      <w:r w:rsidR="00C176FB" w:rsidRPr="001624D9">
        <w:rPr>
          <w:rFonts w:ascii="Arial" w:hAnsi="Arial" w:cs="Arial"/>
          <w:sz w:val="20"/>
          <w:szCs w:val="20"/>
          <w:lang w:eastAsia="fr-FR"/>
        </w:rPr>
        <w:t xml:space="preserve">13,5 </w:t>
      </w:r>
      <w:r w:rsidRPr="001624D9">
        <w:rPr>
          <w:rFonts w:ascii="Arial" w:hAnsi="Arial" w:cs="Arial"/>
          <w:sz w:val="20"/>
          <w:szCs w:val="20"/>
          <w:lang w:eastAsia="fr-FR"/>
        </w:rPr>
        <w:t xml:space="preserve">milliards d’euros </w:t>
      </w:r>
      <w:r w:rsidR="0077534A" w:rsidRPr="001624D9">
        <w:rPr>
          <w:rFonts w:ascii="Arial" w:hAnsi="Arial" w:cs="Arial"/>
          <w:sz w:val="20"/>
          <w:szCs w:val="20"/>
          <w:lang w:eastAsia="fr-FR"/>
        </w:rPr>
        <w:t xml:space="preserve">d’investissements </w:t>
      </w:r>
      <w:r w:rsidR="00C176FB" w:rsidRPr="001624D9">
        <w:rPr>
          <w:rFonts w:ascii="Arial" w:hAnsi="Arial" w:cs="Arial"/>
          <w:sz w:val="20"/>
          <w:szCs w:val="20"/>
          <w:lang w:eastAsia="fr-FR"/>
        </w:rPr>
        <w:t>en soutien à des projets innovants en Europe</w:t>
      </w:r>
      <w:r w:rsidR="0077534A" w:rsidRPr="001624D9">
        <w:rPr>
          <w:rFonts w:ascii="Arial" w:hAnsi="Arial"/>
          <w:sz w:val="20"/>
          <w:szCs w:val="20"/>
        </w:rPr>
        <w:t xml:space="preserve"> </w:t>
      </w:r>
      <w:r w:rsidR="0077534A" w:rsidRPr="001624D9">
        <w:rPr>
          <w:rFonts w:ascii="Arial" w:hAnsi="Arial" w:cs="Arial"/>
          <w:sz w:val="20"/>
          <w:szCs w:val="20"/>
          <w:lang w:eastAsia="fr-FR"/>
        </w:rPr>
        <w:t>en 2016</w:t>
      </w:r>
      <w:r w:rsidR="00C176FB" w:rsidRPr="001624D9">
        <w:rPr>
          <w:rFonts w:ascii="Arial" w:hAnsi="Arial" w:cs="Arial"/>
          <w:sz w:val="20"/>
          <w:szCs w:val="20"/>
          <w:lang w:eastAsia="fr-FR"/>
        </w:rPr>
        <w:t xml:space="preserve">, qu'il s'agisse de programmes de recherche </w:t>
      </w:r>
      <w:r w:rsidR="00C73074" w:rsidRPr="001624D9">
        <w:rPr>
          <w:rFonts w:ascii="Arial" w:hAnsi="Arial" w:cs="Arial"/>
          <w:sz w:val="20"/>
          <w:szCs w:val="20"/>
          <w:lang w:eastAsia="fr-FR"/>
        </w:rPr>
        <w:t>de grands groupes, d’</w:t>
      </w:r>
      <w:r w:rsidR="00C176FB" w:rsidRPr="001624D9">
        <w:rPr>
          <w:rFonts w:ascii="Arial" w:hAnsi="Arial" w:cs="Arial"/>
          <w:sz w:val="20"/>
          <w:szCs w:val="20"/>
          <w:lang w:eastAsia="fr-FR"/>
        </w:rPr>
        <w:t xml:space="preserve">entreprises </w:t>
      </w:r>
      <w:r w:rsidR="00C73074" w:rsidRPr="001624D9">
        <w:rPr>
          <w:rFonts w:ascii="Arial" w:hAnsi="Arial" w:cs="Arial"/>
          <w:sz w:val="20"/>
          <w:szCs w:val="20"/>
          <w:lang w:eastAsia="fr-FR"/>
        </w:rPr>
        <w:t xml:space="preserve">ou </w:t>
      </w:r>
      <w:proofErr w:type="spellStart"/>
      <w:r w:rsidR="00C176FB" w:rsidRPr="001624D9">
        <w:rPr>
          <w:rFonts w:ascii="Arial" w:hAnsi="Arial" w:cs="Arial"/>
          <w:sz w:val="20"/>
          <w:szCs w:val="20"/>
          <w:lang w:eastAsia="fr-FR"/>
        </w:rPr>
        <w:t>biotechs</w:t>
      </w:r>
      <w:proofErr w:type="spellEnd"/>
      <w:r w:rsidR="00C176FB" w:rsidRPr="001624D9">
        <w:rPr>
          <w:rFonts w:ascii="Arial" w:hAnsi="Arial" w:cs="Arial"/>
          <w:sz w:val="20"/>
          <w:szCs w:val="20"/>
          <w:lang w:eastAsia="fr-FR"/>
        </w:rPr>
        <w:t xml:space="preserve"> spécialisées.</w:t>
      </w:r>
      <w:r w:rsidR="00787C32" w:rsidRPr="001624D9">
        <w:rPr>
          <w:rFonts w:ascii="Arial" w:hAnsi="Arial" w:cs="Arial"/>
          <w:sz w:val="20"/>
          <w:szCs w:val="20"/>
          <w:lang w:eastAsia="fr-FR"/>
        </w:rPr>
        <w:t xml:space="preserve"> En France, en 2016, </w:t>
      </w:r>
      <w:r w:rsidR="006B086F" w:rsidRPr="001624D9">
        <w:rPr>
          <w:rFonts w:ascii="Arial" w:hAnsi="Arial" w:cs="Arial"/>
          <w:color w:val="000000" w:themeColor="text1"/>
          <w:sz w:val="20"/>
          <w:szCs w:val="20"/>
          <w:lang w:eastAsia="fr-FR"/>
        </w:rPr>
        <w:t>38</w:t>
      </w:r>
      <w:r w:rsidRPr="001624D9">
        <w:rPr>
          <w:rFonts w:ascii="Arial" w:hAnsi="Arial" w:cs="Arial"/>
          <w:color w:val="000000" w:themeColor="text1"/>
          <w:sz w:val="20"/>
          <w:szCs w:val="20"/>
          <w:lang w:eastAsia="fr-FR"/>
        </w:rPr>
        <w:t xml:space="preserve">% </w:t>
      </w:r>
      <w:r w:rsidR="00A47517" w:rsidRPr="001624D9">
        <w:rPr>
          <w:rFonts w:ascii="Arial" w:hAnsi="Arial" w:cs="Arial"/>
          <w:sz w:val="20"/>
          <w:szCs w:val="20"/>
          <w:lang w:eastAsia="fr-FR"/>
        </w:rPr>
        <w:t xml:space="preserve">des investissements du </w:t>
      </w:r>
      <w:r w:rsidRPr="001624D9">
        <w:rPr>
          <w:rFonts w:ascii="Arial" w:hAnsi="Arial" w:cs="Arial"/>
          <w:sz w:val="20"/>
          <w:szCs w:val="20"/>
          <w:lang w:eastAsia="fr-FR"/>
        </w:rPr>
        <w:t xml:space="preserve">Groupe </w:t>
      </w:r>
      <w:r w:rsidR="0077534A" w:rsidRPr="001624D9">
        <w:rPr>
          <w:rFonts w:ascii="Arial" w:hAnsi="Arial" w:cs="Arial"/>
          <w:sz w:val="20"/>
          <w:szCs w:val="20"/>
          <w:lang w:eastAsia="fr-FR"/>
        </w:rPr>
        <w:t xml:space="preserve">BEI </w:t>
      </w:r>
      <w:r w:rsidRPr="001624D9">
        <w:rPr>
          <w:rFonts w:ascii="Arial" w:hAnsi="Arial" w:cs="Arial"/>
          <w:sz w:val="20"/>
          <w:szCs w:val="20"/>
          <w:lang w:eastAsia="fr-FR"/>
        </w:rPr>
        <w:t xml:space="preserve">ont </w:t>
      </w:r>
      <w:r w:rsidR="00787C32" w:rsidRPr="001624D9">
        <w:rPr>
          <w:rFonts w:ascii="Arial" w:eastAsia="Calibri" w:hAnsi="Arial" w:cs="Calibri"/>
          <w:sz w:val="20"/>
          <w:szCs w:val="20"/>
          <w:lang w:eastAsia="fr-FR"/>
        </w:rPr>
        <w:t>ét</w:t>
      </w:r>
      <w:r w:rsidR="00787C32" w:rsidRPr="001624D9">
        <w:rPr>
          <w:rFonts w:ascii="Arial" w:hAnsi="Arial" w:cs="Arial"/>
          <w:sz w:val="20"/>
          <w:szCs w:val="20"/>
          <w:lang w:eastAsia="fr-FR"/>
        </w:rPr>
        <w:t>é</w:t>
      </w:r>
      <w:r w:rsidRPr="001624D9">
        <w:rPr>
          <w:rFonts w:ascii="Arial" w:eastAsia="Calibri" w:hAnsi="Arial" w:cs="Calibri"/>
          <w:sz w:val="20"/>
          <w:szCs w:val="20"/>
          <w:lang w:eastAsia="fr-FR"/>
        </w:rPr>
        <w:t>́</w:t>
      </w:r>
      <w:r w:rsidRPr="001624D9">
        <w:rPr>
          <w:rFonts w:ascii="Arial" w:hAnsi="Arial" w:cs="Arial"/>
          <w:sz w:val="20"/>
          <w:szCs w:val="20"/>
          <w:lang w:eastAsia="fr-FR"/>
        </w:rPr>
        <w:t xml:space="preserve"> </w:t>
      </w:r>
      <w:r w:rsidR="00787C32" w:rsidRPr="001624D9">
        <w:rPr>
          <w:rFonts w:ascii="Arial" w:hAnsi="Arial" w:cs="Arial"/>
          <w:sz w:val="20"/>
          <w:szCs w:val="20"/>
          <w:lang w:eastAsia="fr-FR"/>
        </w:rPr>
        <w:t>consacr</w:t>
      </w:r>
      <w:r w:rsidR="00787C32" w:rsidRPr="001624D9">
        <w:rPr>
          <w:rFonts w:ascii="Arial" w:eastAsia="Calibri" w:hAnsi="Arial" w:cs="Calibri"/>
          <w:sz w:val="20"/>
          <w:szCs w:val="20"/>
          <w:lang w:eastAsia="fr-FR"/>
        </w:rPr>
        <w:t>és</w:t>
      </w:r>
      <w:r w:rsidRPr="001624D9">
        <w:rPr>
          <w:rFonts w:ascii="Arial" w:hAnsi="Arial" w:cs="Arial"/>
          <w:sz w:val="20"/>
          <w:szCs w:val="20"/>
          <w:lang w:eastAsia="fr-FR"/>
        </w:rPr>
        <w:t xml:space="preserve"> au soutien des </w:t>
      </w:r>
      <w:r w:rsidR="00C176FB" w:rsidRPr="001624D9">
        <w:rPr>
          <w:rFonts w:ascii="Arial" w:hAnsi="Arial" w:cs="Arial"/>
          <w:sz w:val="20"/>
          <w:szCs w:val="20"/>
          <w:lang w:eastAsia="fr-FR"/>
        </w:rPr>
        <w:t xml:space="preserve">entreprises, </w:t>
      </w:r>
      <w:r w:rsidRPr="001624D9">
        <w:rPr>
          <w:rFonts w:ascii="Arial" w:hAnsi="Arial" w:cs="Arial"/>
          <w:sz w:val="20"/>
          <w:szCs w:val="20"/>
          <w:lang w:eastAsia="fr-FR"/>
        </w:rPr>
        <w:t xml:space="preserve">de l’innovation et de la </w:t>
      </w:r>
      <w:proofErr w:type="spellStart"/>
      <w:r w:rsidRPr="001624D9">
        <w:rPr>
          <w:rFonts w:ascii="Arial" w:hAnsi="Arial" w:cs="Arial"/>
          <w:sz w:val="20"/>
          <w:szCs w:val="20"/>
          <w:lang w:eastAsia="fr-FR"/>
        </w:rPr>
        <w:t>recherche-développement</w:t>
      </w:r>
      <w:proofErr w:type="spellEnd"/>
      <w:r w:rsidRPr="001624D9">
        <w:rPr>
          <w:rFonts w:ascii="Arial" w:hAnsi="Arial" w:cs="Arial"/>
          <w:sz w:val="20"/>
          <w:szCs w:val="20"/>
          <w:lang w:eastAsia="fr-FR"/>
        </w:rPr>
        <w:t xml:space="preserve"> sur un total </w:t>
      </w:r>
      <w:r w:rsidR="00A47517" w:rsidRPr="001624D9">
        <w:rPr>
          <w:rFonts w:ascii="Arial" w:hAnsi="Arial" w:cs="Arial"/>
          <w:sz w:val="20"/>
          <w:szCs w:val="20"/>
          <w:lang w:eastAsia="fr-FR"/>
        </w:rPr>
        <w:t xml:space="preserve">d’activité s’élevant à </w:t>
      </w:r>
      <w:r w:rsidR="006B086F" w:rsidRPr="001624D9">
        <w:rPr>
          <w:rFonts w:ascii="Arial" w:hAnsi="Arial" w:cs="Arial"/>
          <w:sz w:val="20"/>
          <w:szCs w:val="20"/>
          <w:lang w:eastAsia="fr-FR"/>
        </w:rPr>
        <w:t xml:space="preserve">9,3 milliards d’euros. </w:t>
      </w:r>
    </w:p>
    <w:p w14:paraId="11779C05" w14:textId="77777777" w:rsidR="00A4166A" w:rsidRPr="001624D9" w:rsidRDefault="00A4166A" w:rsidP="00BB7452">
      <w:pPr>
        <w:jc w:val="both"/>
        <w:rPr>
          <w:rFonts w:ascii="Arial" w:hAnsi="Arial"/>
          <w:b/>
          <w:sz w:val="20"/>
          <w:szCs w:val="20"/>
        </w:rPr>
      </w:pPr>
    </w:p>
    <w:p w14:paraId="391E4152" w14:textId="77777777" w:rsidR="007B5CF5" w:rsidRDefault="007B5CF5" w:rsidP="00BB7452">
      <w:pPr>
        <w:jc w:val="both"/>
        <w:rPr>
          <w:rFonts w:ascii="Arial" w:hAnsi="Arial"/>
          <w:b/>
          <w:sz w:val="22"/>
          <w:szCs w:val="20"/>
        </w:rPr>
      </w:pPr>
    </w:p>
    <w:p w14:paraId="58BCB40A" w14:textId="77777777" w:rsidR="007B5CF5" w:rsidRDefault="007B5CF5" w:rsidP="00BB7452">
      <w:pPr>
        <w:jc w:val="both"/>
        <w:rPr>
          <w:rFonts w:ascii="Arial" w:hAnsi="Arial"/>
          <w:b/>
          <w:sz w:val="22"/>
          <w:szCs w:val="20"/>
        </w:rPr>
      </w:pPr>
    </w:p>
    <w:p w14:paraId="1F0B5950" w14:textId="77777777" w:rsidR="00BB7452" w:rsidRDefault="00BB7452" w:rsidP="00BB7452">
      <w:pPr>
        <w:jc w:val="both"/>
        <w:rPr>
          <w:rFonts w:ascii="Arial" w:hAnsi="Arial"/>
          <w:b/>
          <w:sz w:val="22"/>
          <w:szCs w:val="20"/>
        </w:rPr>
      </w:pPr>
    </w:p>
    <w:p w14:paraId="38786E07" w14:textId="77777777" w:rsidR="007B5CF5" w:rsidRPr="007B5CF5" w:rsidRDefault="007B5CF5" w:rsidP="00BB7452">
      <w:pPr>
        <w:jc w:val="both"/>
        <w:rPr>
          <w:rFonts w:ascii="Arial" w:hAnsi="Arial"/>
          <w:b/>
          <w:sz w:val="22"/>
          <w:szCs w:val="20"/>
        </w:rPr>
      </w:pPr>
      <w:r w:rsidRPr="007B5CF5">
        <w:rPr>
          <w:rFonts w:ascii="Arial" w:hAnsi="Arial"/>
          <w:b/>
          <w:sz w:val="22"/>
          <w:szCs w:val="20"/>
        </w:rPr>
        <w:lastRenderedPageBreak/>
        <w:t>Note au responsable de publication :</w:t>
      </w:r>
    </w:p>
    <w:p w14:paraId="4FD15BA1" w14:textId="77777777" w:rsidR="007B5CF5" w:rsidRDefault="007B5CF5" w:rsidP="00BB7452">
      <w:pPr>
        <w:jc w:val="both"/>
        <w:rPr>
          <w:rFonts w:ascii="Arial" w:hAnsi="Arial"/>
          <w:b/>
          <w:sz w:val="20"/>
          <w:szCs w:val="20"/>
        </w:rPr>
      </w:pPr>
    </w:p>
    <w:p w14:paraId="62EEDE51" w14:textId="7F21D410" w:rsidR="00787C32" w:rsidRPr="001624D9" w:rsidRDefault="00C176FB" w:rsidP="00BB7452">
      <w:pPr>
        <w:jc w:val="both"/>
        <w:rPr>
          <w:rFonts w:ascii="Arial" w:hAnsi="Arial" w:cs="Helvetica"/>
          <w:b/>
          <w:bCs/>
          <w:sz w:val="20"/>
          <w:szCs w:val="20"/>
        </w:rPr>
      </w:pPr>
      <w:r w:rsidRPr="001624D9">
        <w:rPr>
          <w:rFonts w:ascii="Arial" w:hAnsi="Arial"/>
          <w:b/>
          <w:sz w:val="20"/>
          <w:szCs w:val="20"/>
        </w:rPr>
        <w:t xml:space="preserve">A propos du Groupe </w:t>
      </w:r>
      <w:r w:rsidR="00817E4E" w:rsidRPr="001624D9">
        <w:rPr>
          <w:rFonts w:ascii="Arial" w:hAnsi="Arial" w:cs="Helvetica"/>
          <w:b/>
          <w:bCs/>
          <w:sz w:val="20"/>
          <w:szCs w:val="20"/>
        </w:rPr>
        <w:t xml:space="preserve">Banque européenne </w:t>
      </w:r>
      <w:r w:rsidR="00817E4E" w:rsidRPr="001624D9">
        <w:rPr>
          <w:rFonts w:ascii="Arial" w:hAnsi="Arial" w:cs="Arial"/>
          <w:b/>
          <w:bCs/>
          <w:sz w:val="20"/>
          <w:szCs w:val="20"/>
        </w:rPr>
        <w:t>d’i</w:t>
      </w:r>
      <w:r w:rsidR="00817E4E" w:rsidRPr="001624D9">
        <w:rPr>
          <w:rFonts w:ascii="Arial" w:hAnsi="Arial" w:cs="Helvetica"/>
          <w:b/>
          <w:bCs/>
          <w:sz w:val="20"/>
          <w:szCs w:val="20"/>
        </w:rPr>
        <w:t>nvestissement</w:t>
      </w:r>
      <w:r w:rsidR="00817E4E" w:rsidRPr="001624D9">
        <w:rPr>
          <w:rFonts w:ascii="MS Gothic" w:eastAsia="MS Gothic" w:hAnsi="MS Gothic" w:cs="MS Gothic" w:hint="eastAsia"/>
          <w:b/>
          <w:bCs/>
          <w:sz w:val="20"/>
          <w:szCs w:val="20"/>
        </w:rPr>
        <w:t> </w:t>
      </w:r>
    </w:p>
    <w:p w14:paraId="2AC78E6C" w14:textId="77777777" w:rsidR="00C176FB" w:rsidRDefault="00C176FB" w:rsidP="00BB7452">
      <w:pPr>
        <w:jc w:val="both"/>
        <w:rPr>
          <w:rFonts w:ascii="Arial" w:hAnsi="Arial" w:cs="Arial"/>
          <w:sz w:val="20"/>
          <w:szCs w:val="20"/>
        </w:rPr>
      </w:pPr>
      <w:r w:rsidRPr="001624D9">
        <w:rPr>
          <w:rFonts w:ascii="Arial" w:hAnsi="Arial" w:cs="Arial"/>
          <w:sz w:val="20"/>
          <w:szCs w:val="20"/>
        </w:rPr>
        <w:t xml:space="preserve">La Banque européenne d’investissement (BEI) qui est la Banque de l’Union européenne forme avec le Fonds européen d’investissement (FEI) le Groupe BEI. </w:t>
      </w:r>
    </w:p>
    <w:p w14:paraId="116E2022" w14:textId="77777777" w:rsidR="00BB7452" w:rsidRPr="001624D9" w:rsidRDefault="00BB7452" w:rsidP="00BB7452">
      <w:pPr>
        <w:jc w:val="both"/>
        <w:rPr>
          <w:rFonts w:ascii="Arial" w:hAnsi="Arial" w:cs="Arial"/>
          <w:sz w:val="20"/>
          <w:szCs w:val="20"/>
        </w:rPr>
      </w:pPr>
    </w:p>
    <w:p w14:paraId="44AF9F99" w14:textId="77777777" w:rsidR="00C176FB" w:rsidRDefault="00C176FB" w:rsidP="00BB7452">
      <w:pPr>
        <w:jc w:val="both"/>
        <w:rPr>
          <w:rFonts w:ascii="Arial" w:hAnsi="Arial" w:cs="Arial"/>
          <w:sz w:val="20"/>
          <w:szCs w:val="20"/>
        </w:rPr>
      </w:pPr>
      <w:r w:rsidRPr="001624D9">
        <w:rPr>
          <w:rFonts w:ascii="Arial" w:hAnsi="Arial" w:cs="Arial"/>
          <w:sz w:val="20"/>
          <w:szCs w:val="20"/>
        </w:rPr>
        <w:t xml:space="preserve">Depuis 2012, grâce à la solidité de ses compétences et à l’attrait financier de sa notation AAA, le Groupe BEI a doublé son volume d’activité en France (atteignant 9,3 milliards d’euros en 2016) au service des entreprises et de l’innovation, mais aussi en finançant l’investissement dans des secteurs stratégiques comme l’action en faveur du climat, l’énergie, la santé, et l’éducation des jeunes et les infrastructures de formation. </w:t>
      </w:r>
    </w:p>
    <w:p w14:paraId="48D366EB" w14:textId="77777777" w:rsidR="00BB7452" w:rsidRPr="001624D9" w:rsidRDefault="00BB7452" w:rsidP="00BB7452">
      <w:pPr>
        <w:jc w:val="both"/>
        <w:rPr>
          <w:rFonts w:ascii="Arial" w:hAnsi="Arial" w:cs="Arial"/>
          <w:sz w:val="20"/>
          <w:szCs w:val="20"/>
        </w:rPr>
      </w:pPr>
    </w:p>
    <w:p w14:paraId="208A8CAC" w14:textId="7839CD51" w:rsidR="00C176FB" w:rsidRPr="001624D9" w:rsidRDefault="00C176FB" w:rsidP="00BB7452">
      <w:pPr>
        <w:jc w:val="both"/>
        <w:rPr>
          <w:rFonts w:ascii="Arial" w:hAnsi="Arial" w:cs="Arial"/>
          <w:sz w:val="20"/>
          <w:szCs w:val="20"/>
        </w:rPr>
      </w:pPr>
      <w:r w:rsidRPr="001624D9">
        <w:rPr>
          <w:rFonts w:ascii="Arial" w:hAnsi="Arial" w:cs="Arial"/>
          <w:sz w:val="20"/>
          <w:szCs w:val="20"/>
        </w:rPr>
        <w:t xml:space="preserve">Suivez le Groupe BEI : </w:t>
      </w:r>
      <w:hyperlink r:id="rId12" w:history="1">
        <w:r w:rsidR="007B5CF5" w:rsidRPr="00E14CCA">
          <w:rPr>
            <w:rStyle w:val="Hyperlink"/>
            <w:rFonts w:ascii="Arial" w:hAnsi="Arial" w:cs="Arial"/>
            <w:sz w:val="20"/>
            <w:szCs w:val="20"/>
          </w:rPr>
          <w:t>www.eib.org</w:t>
        </w:r>
      </w:hyperlink>
      <w:r w:rsidR="007B5CF5">
        <w:rPr>
          <w:rFonts w:ascii="Arial" w:hAnsi="Arial" w:cs="Arial"/>
          <w:sz w:val="20"/>
          <w:szCs w:val="20"/>
        </w:rPr>
        <w:t xml:space="preserve"> </w:t>
      </w:r>
      <w:r w:rsidRPr="001624D9">
        <w:rPr>
          <w:rFonts w:ascii="Arial" w:hAnsi="Arial" w:cs="Arial"/>
          <w:sz w:val="20"/>
          <w:szCs w:val="20"/>
        </w:rPr>
        <w:t>Twitter : @</w:t>
      </w:r>
      <w:proofErr w:type="spellStart"/>
      <w:r w:rsidRPr="001624D9">
        <w:rPr>
          <w:rFonts w:ascii="Arial" w:hAnsi="Arial" w:cs="Arial"/>
          <w:sz w:val="20"/>
          <w:szCs w:val="20"/>
        </w:rPr>
        <w:t>eib</w:t>
      </w:r>
      <w:proofErr w:type="spellEnd"/>
    </w:p>
    <w:p w14:paraId="7E435F06" w14:textId="714FF230" w:rsidR="00C176FB" w:rsidRPr="001624D9" w:rsidRDefault="00C176FB" w:rsidP="00BB7452">
      <w:pPr>
        <w:jc w:val="both"/>
        <w:rPr>
          <w:rFonts w:ascii="Arial" w:hAnsi="Arial" w:cs="Arial"/>
          <w:sz w:val="20"/>
          <w:szCs w:val="20"/>
        </w:rPr>
      </w:pPr>
      <w:r w:rsidRPr="001624D9">
        <w:rPr>
          <w:rFonts w:ascii="Arial" w:hAnsi="Arial" w:cs="Arial"/>
          <w:sz w:val="20"/>
          <w:szCs w:val="20"/>
        </w:rPr>
        <w:t xml:space="preserve">Fiche France 2016 : </w:t>
      </w:r>
      <w:hyperlink r:id="rId13" w:history="1">
        <w:r w:rsidR="007B5CF5" w:rsidRPr="00E14CCA">
          <w:rPr>
            <w:rStyle w:val="Hyperlink"/>
            <w:rFonts w:ascii="Arial" w:hAnsi="Arial" w:cs="Arial"/>
            <w:sz w:val="20"/>
            <w:szCs w:val="20"/>
          </w:rPr>
          <w:t>http://www.eib.org/infocentre/publications/all/the-eib-group-in-france-in-2016.htm</w:t>
        </w:r>
      </w:hyperlink>
      <w:r w:rsidR="007B5CF5">
        <w:rPr>
          <w:rFonts w:ascii="Arial" w:hAnsi="Arial" w:cs="Arial"/>
          <w:sz w:val="20"/>
          <w:szCs w:val="20"/>
        </w:rPr>
        <w:t xml:space="preserve"> </w:t>
      </w:r>
    </w:p>
    <w:p w14:paraId="394A79CF" w14:textId="77777777" w:rsidR="00C176FB" w:rsidRPr="001624D9" w:rsidRDefault="00C176FB" w:rsidP="00BB7452">
      <w:pPr>
        <w:jc w:val="both"/>
        <w:rPr>
          <w:rFonts w:ascii="Arial" w:hAnsi="Arial" w:cs="Calibri"/>
          <w:i/>
          <w:sz w:val="20"/>
          <w:szCs w:val="20"/>
        </w:rPr>
      </w:pPr>
    </w:p>
    <w:p w14:paraId="0B562CF8" w14:textId="77777777" w:rsidR="001F077E" w:rsidRPr="001624D9" w:rsidRDefault="001F077E" w:rsidP="00BB7452">
      <w:pPr>
        <w:jc w:val="both"/>
        <w:rPr>
          <w:rFonts w:ascii="Arial" w:hAnsi="Arial"/>
          <w:sz w:val="20"/>
          <w:szCs w:val="20"/>
        </w:rPr>
      </w:pPr>
      <w:r w:rsidRPr="001624D9">
        <w:rPr>
          <w:rFonts w:ascii="Arial" w:hAnsi="Arial"/>
          <w:b/>
          <w:sz w:val="20"/>
          <w:szCs w:val="20"/>
        </w:rPr>
        <w:t>À propos de Da Volterra</w:t>
      </w:r>
      <w:r w:rsidR="00B440CE" w:rsidRPr="001624D9">
        <w:rPr>
          <w:rFonts w:ascii="Arial" w:hAnsi="Arial"/>
          <w:b/>
          <w:sz w:val="20"/>
          <w:szCs w:val="20"/>
        </w:rPr>
        <w:t> :</w:t>
      </w:r>
    </w:p>
    <w:p w14:paraId="1EF99924" w14:textId="77777777" w:rsidR="00787C32" w:rsidRDefault="00787C32" w:rsidP="00BB7452">
      <w:pPr>
        <w:jc w:val="both"/>
        <w:rPr>
          <w:rFonts w:ascii="Arial" w:hAnsi="Arial" w:cs="Century Gothic"/>
          <w:sz w:val="20"/>
          <w:szCs w:val="20"/>
        </w:rPr>
      </w:pPr>
      <w:r w:rsidRPr="001624D9">
        <w:rPr>
          <w:rFonts w:ascii="Arial" w:hAnsi="Arial" w:cs="Century Gothic"/>
          <w:sz w:val="20"/>
          <w:szCs w:val="20"/>
        </w:rPr>
        <w:t>Da Volterra est une entreprise biopharmaceutique basée à Paris (France) qui développe des traitements innovants pour la prévention et le traitement des infections graves pour lesquelles le besoin médical est croissant. Dans un contexte où la résistance aux antibiotiques et les infections nosocomiales menacent la pratique médicale, les approches novatrices de Da Volterra promettent un progrès médical substantiel et en phase avec les attentes des professionnels de santé.</w:t>
      </w:r>
    </w:p>
    <w:p w14:paraId="70540B5B" w14:textId="77777777" w:rsidR="00BB7452" w:rsidRPr="001624D9" w:rsidRDefault="00BB7452" w:rsidP="00BB7452">
      <w:pPr>
        <w:jc w:val="both"/>
        <w:rPr>
          <w:rFonts w:ascii="Arial" w:hAnsi="Arial" w:cs="Times New Roman"/>
          <w:sz w:val="20"/>
          <w:szCs w:val="20"/>
        </w:rPr>
      </w:pPr>
    </w:p>
    <w:p w14:paraId="63632204" w14:textId="261F150F" w:rsidR="00787C32" w:rsidRPr="001624D9" w:rsidRDefault="00787C32" w:rsidP="00BB7452">
      <w:pPr>
        <w:widowControl w:val="0"/>
        <w:autoSpaceDE w:val="0"/>
        <w:autoSpaceDN w:val="0"/>
        <w:adjustRightInd w:val="0"/>
        <w:jc w:val="both"/>
        <w:rPr>
          <w:rFonts w:ascii="Arial" w:hAnsi="Arial" w:cs="Times New Roman"/>
          <w:sz w:val="20"/>
          <w:szCs w:val="20"/>
        </w:rPr>
      </w:pPr>
      <w:r w:rsidRPr="001624D9">
        <w:rPr>
          <w:rFonts w:ascii="Arial" w:hAnsi="Arial" w:cs="Century Gothic"/>
          <w:sz w:val="20"/>
          <w:szCs w:val="20"/>
        </w:rPr>
        <w:t xml:space="preserve">Le produit le plus avancé de l’entreprise, DAV132, est développé pour prévenir les infections à </w:t>
      </w:r>
      <w:r w:rsidRPr="001624D9">
        <w:rPr>
          <w:rFonts w:ascii="Arial" w:hAnsi="Arial" w:cs="Century Gothic"/>
          <w:i/>
          <w:iCs/>
          <w:sz w:val="20"/>
          <w:szCs w:val="20"/>
        </w:rPr>
        <w:t>Clostridium difficile</w:t>
      </w:r>
      <w:r w:rsidR="00A4166A" w:rsidRPr="001624D9">
        <w:rPr>
          <w:rFonts w:ascii="Arial" w:hAnsi="Arial" w:cs="Century Gothic"/>
          <w:i/>
          <w:iCs/>
          <w:sz w:val="20"/>
          <w:szCs w:val="20"/>
        </w:rPr>
        <w:t xml:space="preserve"> </w:t>
      </w:r>
      <w:r w:rsidR="00A4166A" w:rsidRPr="001624D9">
        <w:rPr>
          <w:rFonts w:ascii="Arial" w:hAnsi="Arial" w:cs="Century Gothic"/>
          <w:iCs/>
          <w:sz w:val="20"/>
          <w:szCs w:val="20"/>
        </w:rPr>
        <w:t>et l’émergence de bactéries résistantes</w:t>
      </w:r>
      <w:r w:rsidRPr="001624D9">
        <w:rPr>
          <w:rFonts w:ascii="Arial" w:hAnsi="Arial" w:cs="Century Gothic"/>
          <w:sz w:val="20"/>
          <w:szCs w:val="20"/>
        </w:rPr>
        <w:t xml:space="preserve"> chez les patients à risque, par un mécanisme d’action unique et innovant qui protège la flore intestinale des altérations induites par les antibiotiques. Le produit a déjà été testé dans 4 études cliniques et a démontré une preuve de concept de protection contre la </w:t>
      </w:r>
      <w:proofErr w:type="spellStart"/>
      <w:r w:rsidRPr="001624D9">
        <w:rPr>
          <w:rFonts w:ascii="Arial" w:hAnsi="Arial" w:cs="Century Gothic"/>
          <w:sz w:val="20"/>
          <w:szCs w:val="20"/>
        </w:rPr>
        <w:t>dysbiose</w:t>
      </w:r>
      <w:proofErr w:type="spellEnd"/>
      <w:r w:rsidRPr="001624D9">
        <w:rPr>
          <w:rFonts w:ascii="Arial" w:hAnsi="Arial" w:cs="Century Gothic"/>
          <w:sz w:val="20"/>
          <w:szCs w:val="20"/>
        </w:rPr>
        <w:t xml:space="preserve"> antibiotique du </w:t>
      </w:r>
      <w:proofErr w:type="spellStart"/>
      <w:r w:rsidRPr="001624D9">
        <w:rPr>
          <w:rFonts w:ascii="Arial" w:hAnsi="Arial" w:cs="Century Gothic"/>
          <w:sz w:val="20"/>
          <w:szCs w:val="20"/>
        </w:rPr>
        <w:t>microbiote</w:t>
      </w:r>
      <w:proofErr w:type="spellEnd"/>
      <w:r w:rsidRPr="001624D9">
        <w:rPr>
          <w:rFonts w:ascii="Arial" w:hAnsi="Arial" w:cs="Century Gothic"/>
          <w:sz w:val="20"/>
          <w:szCs w:val="20"/>
        </w:rPr>
        <w:t xml:space="preserve"> intestinal.</w:t>
      </w:r>
    </w:p>
    <w:p w14:paraId="55FAE12E" w14:textId="5100FB23" w:rsidR="001F077E" w:rsidRPr="001624D9" w:rsidRDefault="00787C32" w:rsidP="00BB7452">
      <w:pPr>
        <w:widowControl w:val="0"/>
        <w:autoSpaceDE w:val="0"/>
        <w:autoSpaceDN w:val="0"/>
        <w:adjustRightInd w:val="0"/>
        <w:jc w:val="both"/>
        <w:rPr>
          <w:rFonts w:ascii="Arial" w:hAnsi="Arial" w:cs="Times New Roman"/>
          <w:sz w:val="20"/>
          <w:szCs w:val="20"/>
        </w:rPr>
      </w:pPr>
      <w:r w:rsidRPr="001624D9">
        <w:rPr>
          <w:rFonts w:ascii="Arial" w:hAnsi="Arial" w:cs="Century Gothic"/>
          <w:sz w:val="20"/>
          <w:szCs w:val="20"/>
        </w:rPr>
        <w:t xml:space="preserve">Pour plus d’information, vous pouvez consulter </w:t>
      </w:r>
      <w:hyperlink r:id="rId14" w:history="1">
        <w:r w:rsidRPr="001624D9">
          <w:rPr>
            <w:rFonts w:ascii="Arial" w:hAnsi="Arial" w:cs="Century Gothic"/>
            <w:color w:val="0000FF"/>
            <w:sz w:val="20"/>
            <w:szCs w:val="20"/>
            <w:u w:val="single" w:color="0000FF"/>
          </w:rPr>
          <w:t>http://www.davolterra.com</w:t>
        </w:r>
      </w:hyperlink>
      <w:r w:rsidRPr="001624D9">
        <w:rPr>
          <w:rFonts w:ascii="Arial" w:hAnsi="Arial" w:cs="Century Gothic"/>
          <w:sz w:val="20"/>
          <w:szCs w:val="20"/>
        </w:rPr>
        <w:t>.</w:t>
      </w:r>
    </w:p>
    <w:p w14:paraId="6109C2F9" w14:textId="77777777" w:rsidR="00817E4E" w:rsidRPr="001624D9" w:rsidRDefault="00817E4E" w:rsidP="00BB7452">
      <w:pPr>
        <w:jc w:val="both"/>
        <w:rPr>
          <w:rFonts w:ascii="Arial" w:hAnsi="Arial"/>
          <w:color w:val="17365D" w:themeColor="text2" w:themeShade="BF"/>
          <w:sz w:val="20"/>
          <w:szCs w:val="20"/>
        </w:rPr>
      </w:pPr>
    </w:p>
    <w:p w14:paraId="14CE1C31" w14:textId="77777777" w:rsidR="00A566FA" w:rsidRPr="001624D9" w:rsidRDefault="00817E4E" w:rsidP="00BB7452">
      <w:pPr>
        <w:jc w:val="both"/>
        <w:rPr>
          <w:rFonts w:ascii="Arial" w:hAnsi="Arial" w:cs="Times"/>
          <w:sz w:val="20"/>
          <w:szCs w:val="20"/>
        </w:rPr>
      </w:pPr>
      <w:r w:rsidRPr="001624D9">
        <w:rPr>
          <w:rFonts w:ascii="Arial" w:hAnsi="Arial" w:cs="Helvetica"/>
          <w:b/>
          <w:bCs/>
          <w:sz w:val="20"/>
          <w:szCs w:val="20"/>
        </w:rPr>
        <w:t xml:space="preserve">Informations générales sur les produits financiers </w:t>
      </w:r>
      <w:proofErr w:type="spellStart"/>
      <w:r w:rsidRPr="001624D9">
        <w:rPr>
          <w:rFonts w:ascii="Arial" w:hAnsi="Arial" w:cs="Helvetica"/>
          <w:b/>
          <w:bCs/>
          <w:sz w:val="20"/>
          <w:szCs w:val="20"/>
        </w:rPr>
        <w:t>InnovFin</w:t>
      </w:r>
      <w:proofErr w:type="spellEnd"/>
      <w:r w:rsidRPr="001624D9">
        <w:rPr>
          <w:rFonts w:ascii="Arial" w:hAnsi="Arial" w:cs="Helvetica"/>
          <w:b/>
          <w:bCs/>
          <w:sz w:val="20"/>
          <w:szCs w:val="20"/>
        </w:rPr>
        <w:t xml:space="preserve"> </w:t>
      </w:r>
      <w:r w:rsidR="00787C32" w:rsidRPr="001624D9">
        <w:rPr>
          <w:rFonts w:ascii="Arial" w:hAnsi="Arial" w:cs="Times"/>
          <w:sz w:val="20"/>
          <w:szCs w:val="20"/>
        </w:rPr>
        <w:tab/>
      </w:r>
      <w:r w:rsidR="00787C32" w:rsidRPr="001624D9">
        <w:rPr>
          <w:rFonts w:ascii="Arial" w:hAnsi="Arial" w:cs="Times"/>
          <w:sz w:val="20"/>
          <w:szCs w:val="20"/>
        </w:rPr>
        <w:tab/>
      </w:r>
      <w:r w:rsidR="00787C32" w:rsidRPr="001624D9">
        <w:rPr>
          <w:rFonts w:ascii="Arial" w:hAnsi="Arial" w:cs="Times"/>
          <w:sz w:val="20"/>
          <w:szCs w:val="20"/>
        </w:rPr>
        <w:tab/>
        <w:t xml:space="preserve">                       </w:t>
      </w:r>
      <w:r w:rsidR="00A566FA" w:rsidRPr="001624D9">
        <w:rPr>
          <w:rFonts w:ascii="Arial" w:hAnsi="Arial" w:cs="Times"/>
          <w:sz w:val="20"/>
          <w:szCs w:val="20"/>
        </w:rPr>
        <w:t xml:space="preserve">                       </w:t>
      </w:r>
    </w:p>
    <w:p w14:paraId="4C6AB6B4" w14:textId="421C3734" w:rsidR="00817E4E" w:rsidRDefault="00817E4E" w:rsidP="00BB7452">
      <w:pPr>
        <w:jc w:val="both"/>
        <w:rPr>
          <w:rFonts w:ascii="Arial" w:hAnsi="Arial" w:cs="Century Gothic"/>
          <w:sz w:val="20"/>
          <w:szCs w:val="20"/>
        </w:rPr>
      </w:pPr>
      <w:r w:rsidRPr="001624D9">
        <w:rPr>
          <w:rFonts w:ascii="Arial" w:hAnsi="Arial" w:cs="Century Gothic"/>
          <w:sz w:val="20"/>
          <w:szCs w:val="20"/>
        </w:rPr>
        <w:t xml:space="preserve">Dans le cadre de l'initiative Horizon 2020, le programme de recherche de l'UE pour 2014-2020, la Commission européenne et le Groupe Banque européenne d'investissement (BEI et FEI) ont lancé en 2014 une nouvelle génération d'instruments financiers et de services de conseil destinés à faciliter l'accès au crédit pour les entreprises innovantes. Jusqu'en 2020, le dispositif « </w:t>
      </w:r>
      <w:proofErr w:type="spellStart"/>
      <w:r w:rsidRPr="001624D9">
        <w:rPr>
          <w:rFonts w:ascii="Arial" w:hAnsi="Arial" w:cs="Century Gothic"/>
          <w:sz w:val="20"/>
          <w:szCs w:val="20"/>
        </w:rPr>
        <w:t>InnovFin</w:t>
      </w:r>
      <w:proofErr w:type="spellEnd"/>
      <w:r w:rsidRPr="001624D9">
        <w:rPr>
          <w:rFonts w:ascii="Arial" w:hAnsi="Arial" w:cs="Century Gothic"/>
          <w:sz w:val="20"/>
          <w:szCs w:val="20"/>
        </w:rPr>
        <w:t xml:space="preserve"> Financement européen de l'innovation » offre une série de produits sur mesure qui permettent de mettre à disposition plus de 24 milliards d’euros de financements à l'appui de projets de recherche et d'innovation (R-I) menés par des entreprises de petite, moyenne et grande dimension et par les promoteurs d'infrastructures de recherche. Ces financements devraient permettre de mobiliser, au total, au moins 48 milliards d’euros d'investissements dans la recherche et l'innovation. </w:t>
      </w:r>
    </w:p>
    <w:p w14:paraId="6344A2B5" w14:textId="77777777" w:rsidR="00BB7452" w:rsidRPr="001624D9" w:rsidRDefault="00BB7452" w:rsidP="00BB7452">
      <w:pPr>
        <w:jc w:val="both"/>
        <w:rPr>
          <w:rFonts w:ascii="Arial" w:hAnsi="Arial" w:cs="Century Gothic"/>
          <w:sz w:val="20"/>
          <w:szCs w:val="20"/>
        </w:rPr>
      </w:pPr>
    </w:p>
    <w:p w14:paraId="34EFF3C7" w14:textId="77777777" w:rsidR="00817E4E" w:rsidRDefault="00817E4E" w:rsidP="00BB7452">
      <w:pPr>
        <w:widowControl w:val="0"/>
        <w:autoSpaceDE w:val="0"/>
        <w:autoSpaceDN w:val="0"/>
        <w:adjustRightInd w:val="0"/>
        <w:jc w:val="both"/>
        <w:rPr>
          <w:rFonts w:ascii="Arial" w:hAnsi="Arial" w:cs="Arial"/>
          <w:sz w:val="20"/>
          <w:szCs w:val="20"/>
        </w:rPr>
      </w:pPr>
      <w:r w:rsidRPr="001624D9">
        <w:rPr>
          <w:rFonts w:ascii="Arial" w:hAnsi="Arial" w:cs="Arial"/>
          <w:sz w:val="20"/>
          <w:szCs w:val="20"/>
        </w:rPr>
        <w:t xml:space="preserve">Les produits financiers </w:t>
      </w:r>
      <w:proofErr w:type="spellStart"/>
      <w:r w:rsidRPr="001624D9">
        <w:rPr>
          <w:rFonts w:ascii="Arial" w:hAnsi="Arial" w:cs="Arial"/>
          <w:sz w:val="20"/>
          <w:szCs w:val="20"/>
        </w:rPr>
        <w:t>InnovFin</w:t>
      </w:r>
      <w:proofErr w:type="spellEnd"/>
      <w:r w:rsidRPr="001624D9">
        <w:rPr>
          <w:rFonts w:ascii="Arial" w:hAnsi="Arial" w:cs="Arial"/>
          <w:sz w:val="20"/>
          <w:szCs w:val="20"/>
        </w:rPr>
        <w:t xml:space="preserve">, qui sont couverts par des fonds réservés à cette fin dans le cadre d'Horizon 2020 et par le Groupe BEI, sont déployés à l'appui d'activités de R-I, qui sont, par nature, plus risquées et plus difficiles à évaluer que des investissements classiques, et pour lesquelles il est souvent difficile d'accéder à un financement. Les entreprises et autres entités situées dans les États membres de l'UE et dans les pays associés au titre de l'initiative Horizon 2020 sont admissibles en qualité de bénéficiaires finaux. Ces instruments de dette sont complétés par une série d'instruments participatifs gérés par le FEI. </w:t>
      </w:r>
    </w:p>
    <w:p w14:paraId="5B22F54F" w14:textId="77777777" w:rsidR="00BB7452" w:rsidRPr="001624D9" w:rsidRDefault="00BB7452" w:rsidP="00BB7452">
      <w:pPr>
        <w:widowControl w:val="0"/>
        <w:autoSpaceDE w:val="0"/>
        <w:autoSpaceDN w:val="0"/>
        <w:adjustRightInd w:val="0"/>
        <w:jc w:val="both"/>
        <w:rPr>
          <w:rFonts w:ascii="Arial" w:hAnsi="Arial" w:cs="Times"/>
          <w:sz w:val="20"/>
          <w:szCs w:val="20"/>
        </w:rPr>
      </w:pPr>
    </w:p>
    <w:p w14:paraId="7467F1B5" w14:textId="77777777" w:rsidR="00817E4E" w:rsidRPr="001624D9" w:rsidRDefault="00817E4E" w:rsidP="00BB7452">
      <w:pPr>
        <w:widowControl w:val="0"/>
        <w:autoSpaceDE w:val="0"/>
        <w:autoSpaceDN w:val="0"/>
        <w:adjustRightInd w:val="0"/>
        <w:jc w:val="both"/>
        <w:rPr>
          <w:rFonts w:ascii="Arial" w:hAnsi="Arial" w:cs="Times"/>
          <w:sz w:val="20"/>
          <w:szCs w:val="20"/>
        </w:rPr>
      </w:pPr>
      <w:r w:rsidRPr="001624D9">
        <w:rPr>
          <w:rFonts w:ascii="Arial" w:hAnsi="Arial" w:cs="Arial"/>
          <w:sz w:val="20"/>
          <w:szCs w:val="20"/>
        </w:rPr>
        <w:t xml:space="preserve">Le mécanisme de financement de la recherche sur les maladies infectieuses permet d'offrir une large gamme de produits financiers allant des instruments de dette standard aux instruments avec partage des risques, d'un montant compris entre 7,5 millions et 75 millions d'euros, à des acteurs innovants œuvrant à la mise au point de vaccins, de médicaments ou d'appareils médicaux et de diagnostic innovants, ou à de nouvelles infrastructures de recherche spécialisées dans les maladies infectieuses. Les bénéficiaires finaux sont des porteurs de projets qui ont franchi avec succès l'étape préclinique. </w:t>
      </w:r>
    </w:p>
    <w:p w14:paraId="623D4EAD" w14:textId="77777777" w:rsidR="00787C32" w:rsidRPr="001624D9" w:rsidRDefault="00787C32" w:rsidP="00BB7452">
      <w:pPr>
        <w:widowControl w:val="0"/>
        <w:autoSpaceDE w:val="0"/>
        <w:autoSpaceDN w:val="0"/>
        <w:adjustRightInd w:val="0"/>
        <w:rPr>
          <w:rFonts w:ascii="Arial" w:hAnsi="Arial" w:cs="Helvetica"/>
          <w:b/>
          <w:bCs/>
          <w:color w:val="000000" w:themeColor="text1"/>
          <w:sz w:val="20"/>
          <w:szCs w:val="20"/>
        </w:rPr>
      </w:pPr>
    </w:p>
    <w:p w14:paraId="228ABAC5" w14:textId="77777777" w:rsidR="00BB7452" w:rsidRDefault="00BB7452" w:rsidP="00BB7452">
      <w:pPr>
        <w:widowControl w:val="0"/>
        <w:autoSpaceDE w:val="0"/>
        <w:autoSpaceDN w:val="0"/>
        <w:adjustRightInd w:val="0"/>
        <w:rPr>
          <w:rFonts w:ascii="Arial" w:hAnsi="Arial" w:cs="Helvetica"/>
          <w:b/>
          <w:bCs/>
          <w:color w:val="000000" w:themeColor="text1"/>
          <w:sz w:val="22"/>
          <w:szCs w:val="20"/>
        </w:rPr>
      </w:pPr>
    </w:p>
    <w:p w14:paraId="52B0937B" w14:textId="77777777" w:rsidR="00817E4E" w:rsidRPr="001624D9" w:rsidRDefault="00817E4E" w:rsidP="00BB7452">
      <w:pPr>
        <w:widowControl w:val="0"/>
        <w:autoSpaceDE w:val="0"/>
        <w:autoSpaceDN w:val="0"/>
        <w:adjustRightInd w:val="0"/>
        <w:rPr>
          <w:rFonts w:ascii="Arial" w:hAnsi="Arial" w:cs="Helvetica"/>
          <w:b/>
          <w:bCs/>
          <w:color w:val="000000" w:themeColor="text1"/>
          <w:sz w:val="22"/>
          <w:szCs w:val="20"/>
        </w:rPr>
      </w:pPr>
      <w:r w:rsidRPr="001624D9">
        <w:rPr>
          <w:rFonts w:ascii="Arial" w:hAnsi="Arial" w:cs="Helvetica"/>
          <w:b/>
          <w:bCs/>
          <w:color w:val="000000" w:themeColor="text1"/>
          <w:sz w:val="22"/>
          <w:szCs w:val="20"/>
        </w:rPr>
        <w:t xml:space="preserve">Contacts pour la presse : </w:t>
      </w:r>
    </w:p>
    <w:p w14:paraId="488DE9B8" w14:textId="77777777" w:rsidR="005A7AFD" w:rsidRPr="001624D9" w:rsidRDefault="00817E4E" w:rsidP="00BB7452">
      <w:pPr>
        <w:widowControl w:val="0"/>
        <w:autoSpaceDE w:val="0"/>
        <w:autoSpaceDN w:val="0"/>
        <w:adjustRightInd w:val="0"/>
        <w:rPr>
          <w:rFonts w:ascii="Arial" w:hAnsi="Arial" w:cs="Times"/>
          <w:color w:val="000000" w:themeColor="text1"/>
          <w:sz w:val="20"/>
          <w:szCs w:val="20"/>
        </w:rPr>
      </w:pPr>
      <w:r w:rsidRPr="001624D9">
        <w:rPr>
          <w:rFonts w:ascii="Arial" w:hAnsi="Arial" w:cs="Helvetica"/>
          <w:b/>
          <w:bCs/>
          <w:color w:val="000000" w:themeColor="text1"/>
          <w:sz w:val="20"/>
          <w:szCs w:val="20"/>
        </w:rPr>
        <w:t xml:space="preserve">BEI </w:t>
      </w:r>
      <w:r w:rsidR="00787C32" w:rsidRPr="001624D9">
        <w:rPr>
          <w:rFonts w:ascii="Arial" w:hAnsi="Arial" w:cs="Times"/>
          <w:color w:val="000000" w:themeColor="text1"/>
          <w:sz w:val="20"/>
          <w:szCs w:val="20"/>
        </w:rPr>
        <w:tab/>
      </w:r>
      <w:r w:rsidR="00787C32" w:rsidRPr="001624D9">
        <w:rPr>
          <w:rFonts w:ascii="Arial" w:hAnsi="Arial" w:cs="Times"/>
          <w:color w:val="000000" w:themeColor="text1"/>
          <w:sz w:val="20"/>
          <w:szCs w:val="20"/>
        </w:rPr>
        <w:tab/>
      </w:r>
      <w:r w:rsidR="00787C32" w:rsidRPr="001624D9">
        <w:rPr>
          <w:rFonts w:ascii="Arial" w:hAnsi="Arial" w:cs="Times"/>
          <w:color w:val="000000" w:themeColor="text1"/>
          <w:sz w:val="20"/>
          <w:szCs w:val="20"/>
        </w:rPr>
        <w:tab/>
      </w:r>
      <w:r w:rsidR="00787C32" w:rsidRPr="001624D9">
        <w:rPr>
          <w:rFonts w:ascii="Arial" w:hAnsi="Arial" w:cs="Times"/>
          <w:color w:val="000000" w:themeColor="text1"/>
          <w:sz w:val="20"/>
          <w:szCs w:val="20"/>
        </w:rPr>
        <w:tab/>
      </w:r>
      <w:r w:rsidR="00787C32" w:rsidRPr="001624D9">
        <w:rPr>
          <w:rFonts w:ascii="Arial" w:hAnsi="Arial" w:cs="Times"/>
          <w:color w:val="000000" w:themeColor="text1"/>
          <w:sz w:val="20"/>
          <w:szCs w:val="20"/>
        </w:rPr>
        <w:tab/>
      </w:r>
      <w:r w:rsidR="00787C32" w:rsidRPr="001624D9">
        <w:rPr>
          <w:rFonts w:ascii="Arial" w:hAnsi="Arial" w:cs="Times"/>
          <w:color w:val="000000" w:themeColor="text1"/>
          <w:sz w:val="20"/>
          <w:szCs w:val="20"/>
        </w:rPr>
        <w:tab/>
      </w:r>
      <w:r w:rsidR="00787C32" w:rsidRPr="001624D9">
        <w:rPr>
          <w:rFonts w:ascii="Arial" w:hAnsi="Arial" w:cs="Times"/>
          <w:color w:val="000000" w:themeColor="text1"/>
          <w:sz w:val="20"/>
          <w:szCs w:val="20"/>
        </w:rPr>
        <w:tab/>
      </w:r>
      <w:r w:rsidR="00787C32" w:rsidRPr="001624D9">
        <w:rPr>
          <w:rFonts w:ascii="Arial" w:hAnsi="Arial" w:cs="Times"/>
          <w:color w:val="000000" w:themeColor="text1"/>
          <w:sz w:val="20"/>
          <w:szCs w:val="20"/>
        </w:rPr>
        <w:tab/>
      </w:r>
      <w:r w:rsidR="00787C32" w:rsidRPr="001624D9">
        <w:rPr>
          <w:rFonts w:ascii="Arial" w:hAnsi="Arial" w:cs="Times"/>
          <w:color w:val="000000" w:themeColor="text1"/>
          <w:sz w:val="20"/>
          <w:szCs w:val="20"/>
        </w:rPr>
        <w:tab/>
      </w:r>
      <w:r w:rsidR="00787C32" w:rsidRPr="001624D9">
        <w:rPr>
          <w:rFonts w:ascii="Arial" w:hAnsi="Arial" w:cs="Times"/>
          <w:color w:val="000000" w:themeColor="text1"/>
          <w:sz w:val="20"/>
          <w:szCs w:val="20"/>
        </w:rPr>
        <w:tab/>
      </w:r>
      <w:r w:rsidR="00787C32" w:rsidRPr="001624D9">
        <w:rPr>
          <w:rFonts w:ascii="Arial" w:hAnsi="Arial" w:cs="Times"/>
          <w:color w:val="000000" w:themeColor="text1"/>
          <w:sz w:val="20"/>
          <w:szCs w:val="20"/>
        </w:rPr>
        <w:tab/>
      </w:r>
      <w:r w:rsidR="00787C32" w:rsidRPr="001624D9">
        <w:rPr>
          <w:rFonts w:ascii="Arial" w:hAnsi="Arial" w:cs="Times"/>
          <w:color w:val="000000" w:themeColor="text1"/>
          <w:sz w:val="20"/>
          <w:szCs w:val="20"/>
        </w:rPr>
        <w:tab/>
        <w:t xml:space="preserve">      </w:t>
      </w:r>
    </w:p>
    <w:p w14:paraId="10B6F88A" w14:textId="272ECA10" w:rsidR="00BB7452" w:rsidRDefault="00BB7452" w:rsidP="00BB7452">
      <w:pPr>
        <w:rPr>
          <w:rFonts w:ascii="Arial" w:hAnsi="Arial"/>
          <w:sz w:val="20"/>
          <w:szCs w:val="20"/>
        </w:rPr>
      </w:pPr>
      <w:bookmarkStart w:id="0" w:name="_GoBack"/>
      <w:r w:rsidRPr="00BB7452">
        <w:rPr>
          <w:rStyle w:val="Strong"/>
          <w:rFonts w:ascii="Arial" w:hAnsi="Arial"/>
          <w:b w:val="0"/>
          <w:sz w:val="20"/>
          <w:szCs w:val="20"/>
          <w:lang w:val="fr-BE"/>
        </w:rPr>
        <w:t xml:space="preserve">Anne-Cécile </w:t>
      </w:r>
      <w:proofErr w:type="spellStart"/>
      <w:r w:rsidRPr="00BB7452">
        <w:rPr>
          <w:rStyle w:val="Strong"/>
          <w:rFonts w:ascii="Arial" w:hAnsi="Arial"/>
          <w:b w:val="0"/>
          <w:sz w:val="20"/>
          <w:szCs w:val="20"/>
          <w:lang w:val="fr-BE"/>
        </w:rPr>
        <w:t>Auguin</w:t>
      </w:r>
      <w:proofErr w:type="spellEnd"/>
      <w:r w:rsidRPr="00322860">
        <w:rPr>
          <w:rStyle w:val="Strong"/>
          <w:rFonts w:ascii="Arial" w:hAnsi="Arial"/>
          <w:b w:val="0"/>
          <w:sz w:val="20"/>
          <w:szCs w:val="20"/>
          <w:lang w:val="fr-BE"/>
        </w:rPr>
        <w:t xml:space="preserve">, </w:t>
      </w:r>
      <w:hyperlink r:id="rId15" w:history="1">
        <w:r w:rsidRPr="00322860">
          <w:rPr>
            <w:rStyle w:val="Hyperlink"/>
            <w:rFonts w:ascii="Arial" w:hAnsi="Arial"/>
            <w:sz w:val="20"/>
            <w:szCs w:val="20"/>
            <w:lang w:val="fr-BE"/>
          </w:rPr>
          <w:t>a.auguin@bei.org</w:t>
        </w:r>
      </w:hyperlink>
      <w:r w:rsidRPr="00322860">
        <w:rPr>
          <w:rFonts w:ascii="Arial" w:hAnsi="Arial"/>
          <w:sz w:val="20"/>
          <w:szCs w:val="20"/>
          <w:lang w:val="fr-BE"/>
        </w:rPr>
        <w:t xml:space="preserve">, </w:t>
      </w:r>
      <w:r w:rsidRPr="00322860">
        <w:rPr>
          <w:rStyle w:val="ui-iconui-icon-mail-closed"/>
          <w:rFonts w:ascii="Arial" w:hAnsi="Arial"/>
          <w:sz w:val="20"/>
          <w:szCs w:val="20"/>
          <w:lang w:val="fr-BE"/>
        </w:rPr>
        <w:t>tél. :</w:t>
      </w:r>
      <w:r w:rsidRPr="00322860">
        <w:rPr>
          <w:rStyle w:val="ui-iconui-icon-eib-phone"/>
          <w:rFonts w:ascii="Arial" w:hAnsi="Arial"/>
          <w:sz w:val="20"/>
          <w:szCs w:val="20"/>
          <w:lang w:val="fr-BE"/>
        </w:rPr>
        <w:t> </w:t>
      </w:r>
      <w:r w:rsidRPr="00322860">
        <w:rPr>
          <w:rFonts w:ascii="Arial" w:hAnsi="Arial"/>
          <w:sz w:val="20"/>
          <w:szCs w:val="20"/>
          <w:lang w:val="fr-BE"/>
        </w:rPr>
        <w:t>+352 43 79 83330 / Gsm: +352 621 36 19 48</w:t>
      </w:r>
      <w:r w:rsidRPr="00322860">
        <w:rPr>
          <w:rFonts w:ascii="Arial" w:hAnsi="Arial"/>
          <w:sz w:val="20"/>
          <w:szCs w:val="20"/>
          <w:lang w:val="fr-BE"/>
        </w:rPr>
        <w:br/>
        <w:t xml:space="preserve">Site internet : </w:t>
      </w:r>
      <w:hyperlink r:id="rId16" w:history="1">
        <w:r w:rsidRPr="00322860">
          <w:rPr>
            <w:rStyle w:val="Hyperlink"/>
            <w:rFonts w:ascii="Arial" w:hAnsi="Arial"/>
            <w:sz w:val="20"/>
            <w:szCs w:val="20"/>
            <w:lang w:val="fr-BE"/>
          </w:rPr>
          <w:t>www.bei.org/press</w:t>
        </w:r>
      </w:hyperlink>
      <w:r w:rsidRPr="00322860">
        <w:rPr>
          <w:rFonts w:ascii="Arial" w:hAnsi="Arial"/>
          <w:sz w:val="20"/>
          <w:szCs w:val="20"/>
          <w:lang w:val="fr-BE"/>
        </w:rPr>
        <w:t xml:space="preserve"> - Service de presse : +352 4379 21000 – </w:t>
      </w:r>
      <w:hyperlink r:id="rId17" w:history="1">
        <w:r w:rsidRPr="00322860">
          <w:rPr>
            <w:rStyle w:val="Hyperlink"/>
            <w:rFonts w:ascii="Arial" w:hAnsi="Arial"/>
            <w:sz w:val="20"/>
            <w:szCs w:val="20"/>
            <w:lang w:val="fr-BE"/>
          </w:rPr>
          <w:t>presse@bei.org</w:t>
        </w:r>
      </w:hyperlink>
      <w:r>
        <w:rPr>
          <w:rFonts w:ascii="Arial" w:hAnsi="Arial"/>
          <w:sz w:val="20"/>
          <w:szCs w:val="20"/>
          <w:lang w:val="fr-BE"/>
        </w:rPr>
        <w:br/>
      </w:r>
      <w:r w:rsidRPr="00B8532A">
        <w:rPr>
          <w:rFonts w:ascii="Arial" w:hAnsi="Arial" w:cs="Arial"/>
          <w:sz w:val="20"/>
          <w:szCs w:val="20"/>
          <w:lang w:val="fr-BE"/>
        </w:rPr>
        <w:t xml:space="preserve">Suivez la BEI sur Twitter </w:t>
      </w:r>
      <w:hyperlink r:id="rId18" w:history="1">
        <w:r w:rsidRPr="00763AF3">
          <w:rPr>
            <w:rStyle w:val="Hyperlink"/>
            <w:rFonts w:ascii="Arial" w:hAnsi="Arial"/>
            <w:sz w:val="20"/>
            <w:szCs w:val="20"/>
            <w:lang w:val="fr-BE"/>
          </w:rPr>
          <w:t>@</w:t>
        </w:r>
        <w:proofErr w:type="spellStart"/>
        <w:r w:rsidRPr="00763AF3">
          <w:rPr>
            <w:rStyle w:val="Hyperlink"/>
            <w:rFonts w:ascii="Arial" w:hAnsi="Arial"/>
            <w:sz w:val="20"/>
            <w:szCs w:val="20"/>
            <w:lang w:val="fr-BE"/>
          </w:rPr>
          <w:t>eib</w:t>
        </w:r>
        <w:proofErr w:type="spellEnd"/>
      </w:hyperlink>
    </w:p>
    <w:bookmarkEnd w:id="0"/>
    <w:p w14:paraId="408E53CC" w14:textId="77777777" w:rsidR="004A7137" w:rsidRPr="00B8532A" w:rsidRDefault="004A7137" w:rsidP="00BB7452">
      <w:pPr>
        <w:rPr>
          <w:rFonts w:ascii="Arial" w:hAnsi="Arial"/>
          <w:sz w:val="20"/>
          <w:szCs w:val="20"/>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345"/>
      </w:tblGrid>
      <w:tr w:rsidR="00A566FA" w:rsidRPr="001624D9" w14:paraId="60121C62" w14:textId="77777777" w:rsidTr="00A566FA">
        <w:tc>
          <w:tcPr>
            <w:tcW w:w="3936" w:type="dxa"/>
          </w:tcPr>
          <w:p w14:paraId="6AC808A7" w14:textId="77777777" w:rsidR="00A566FA" w:rsidRPr="001624D9" w:rsidRDefault="00A566FA" w:rsidP="00BB7452">
            <w:pPr>
              <w:widowControl w:val="0"/>
              <w:autoSpaceDE w:val="0"/>
              <w:autoSpaceDN w:val="0"/>
              <w:adjustRightInd w:val="0"/>
              <w:rPr>
                <w:rFonts w:ascii="Arial" w:hAnsi="Arial"/>
                <w:b/>
                <w:color w:val="000000" w:themeColor="text1"/>
                <w:sz w:val="20"/>
                <w:szCs w:val="20"/>
              </w:rPr>
            </w:pPr>
            <w:r w:rsidRPr="001624D9">
              <w:rPr>
                <w:rFonts w:ascii="Arial" w:hAnsi="Arial"/>
                <w:b/>
                <w:color w:val="000000" w:themeColor="text1"/>
                <w:sz w:val="20"/>
                <w:szCs w:val="20"/>
              </w:rPr>
              <w:t>Da Volterra</w:t>
            </w:r>
          </w:p>
          <w:p w14:paraId="1700D34D" w14:textId="77777777" w:rsidR="00A566FA" w:rsidRPr="001624D9" w:rsidRDefault="00A566FA" w:rsidP="00BB7452">
            <w:pPr>
              <w:jc w:val="both"/>
              <w:rPr>
                <w:rFonts w:ascii="Arial" w:hAnsi="Arial" w:cs="Tahoma"/>
                <w:color w:val="000000" w:themeColor="text1"/>
                <w:sz w:val="20"/>
                <w:szCs w:val="20"/>
              </w:rPr>
            </w:pPr>
            <w:r w:rsidRPr="001624D9">
              <w:rPr>
                <w:rFonts w:ascii="Arial" w:hAnsi="Arial" w:cs="Tahoma"/>
                <w:color w:val="000000" w:themeColor="text1"/>
                <w:sz w:val="20"/>
                <w:szCs w:val="20"/>
              </w:rPr>
              <w:t>Florence Séjourné, CEO</w:t>
            </w:r>
          </w:p>
          <w:p w14:paraId="15B6E25A" w14:textId="77777777" w:rsidR="00A566FA" w:rsidRPr="001624D9" w:rsidRDefault="00A566FA" w:rsidP="00BB7452">
            <w:pPr>
              <w:jc w:val="both"/>
              <w:rPr>
                <w:rFonts w:ascii="Arial" w:hAnsi="Arial" w:cs="Tahoma"/>
                <w:color w:val="000000" w:themeColor="text1"/>
                <w:sz w:val="20"/>
                <w:szCs w:val="20"/>
              </w:rPr>
            </w:pPr>
            <w:r w:rsidRPr="001624D9">
              <w:rPr>
                <w:rFonts w:ascii="Arial" w:hAnsi="Arial" w:cs="Tahoma"/>
                <w:color w:val="000000" w:themeColor="text1"/>
                <w:sz w:val="20"/>
                <w:szCs w:val="20"/>
              </w:rPr>
              <w:t>Tel : +33 (0)1 58 39 32 20</w:t>
            </w:r>
          </w:p>
          <w:p w14:paraId="2333FF91" w14:textId="039E70A5" w:rsidR="00A566FA" w:rsidRPr="001624D9" w:rsidRDefault="00A566FA" w:rsidP="00BB7452">
            <w:pPr>
              <w:jc w:val="both"/>
              <w:rPr>
                <w:rFonts w:ascii="Arial" w:hAnsi="Arial"/>
                <w:color w:val="000000" w:themeColor="text1"/>
                <w:sz w:val="20"/>
                <w:szCs w:val="20"/>
              </w:rPr>
            </w:pPr>
            <w:r w:rsidRPr="001624D9">
              <w:rPr>
                <w:rFonts w:ascii="Arial" w:hAnsi="Arial" w:cs="Tahoma"/>
                <w:color w:val="000000" w:themeColor="text1"/>
                <w:sz w:val="20"/>
                <w:szCs w:val="20"/>
              </w:rPr>
              <w:t xml:space="preserve">Email : </w:t>
            </w:r>
            <w:hyperlink r:id="rId19" w:history="1">
              <w:r w:rsidR="00BB7452" w:rsidRPr="00E14CCA">
                <w:rPr>
                  <w:rStyle w:val="Hyperlink"/>
                  <w:rFonts w:ascii="Arial" w:hAnsi="Arial" w:cs="Tahoma"/>
                  <w:sz w:val="20"/>
                  <w:szCs w:val="20"/>
                </w:rPr>
                <w:t>contacts@davolterra.com</w:t>
              </w:r>
            </w:hyperlink>
            <w:r w:rsidR="00BB7452">
              <w:rPr>
                <w:rStyle w:val="Hyperlink"/>
                <w:rFonts w:ascii="Arial" w:hAnsi="Arial" w:cs="Tahoma"/>
                <w:color w:val="000000" w:themeColor="text1"/>
                <w:sz w:val="20"/>
                <w:szCs w:val="20"/>
                <w:u w:val="none"/>
              </w:rPr>
              <w:t xml:space="preserve">   </w:t>
            </w:r>
          </w:p>
        </w:tc>
        <w:tc>
          <w:tcPr>
            <w:tcW w:w="5346" w:type="dxa"/>
          </w:tcPr>
          <w:p w14:paraId="18EFA69D" w14:textId="77777777" w:rsidR="00A566FA" w:rsidRPr="001624D9" w:rsidRDefault="00A566FA" w:rsidP="00BB7452">
            <w:pPr>
              <w:widowControl w:val="0"/>
              <w:autoSpaceDE w:val="0"/>
              <w:autoSpaceDN w:val="0"/>
              <w:adjustRightInd w:val="0"/>
              <w:rPr>
                <w:rFonts w:ascii="Arial" w:hAnsi="Arial" w:cs="Tahoma"/>
                <w:b/>
                <w:color w:val="000000" w:themeColor="text1"/>
                <w:sz w:val="20"/>
                <w:szCs w:val="20"/>
              </w:rPr>
            </w:pPr>
            <w:r w:rsidRPr="001624D9">
              <w:rPr>
                <w:rFonts w:ascii="Arial" w:hAnsi="Arial" w:cs="Tahoma"/>
                <w:b/>
                <w:color w:val="000000" w:themeColor="text1"/>
                <w:sz w:val="20"/>
                <w:szCs w:val="20"/>
              </w:rPr>
              <w:t>Ulysse Communication – Relations presse</w:t>
            </w:r>
          </w:p>
          <w:p w14:paraId="3CD7A2E3" w14:textId="77777777" w:rsidR="00A566FA" w:rsidRPr="001624D9" w:rsidRDefault="00A566FA" w:rsidP="00BB7452">
            <w:pPr>
              <w:jc w:val="both"/>
              <w:rPr>
                <w:rFonts w:ascii="Arial" w:hAnsi="Arial" w:cs="Tahoma"/>
                <w:color w:val="000000" w:themeColor="text1"/>
                <w:sz w:val="20"/>
                <w:szCs w:val="20"/>
              </w:rPr>
            </w:pPr>
            <w:r w:rsidRPr="001624D9">
              <w:rPr>
                <w:rFonts w:ascii="Arial" w:hAnsi="Arial" w:cs="Tahoma"/>
                <w:color w:val="000000" w:themeColor="text1"/>
                <w:sz w:val="20"/>
                <w:szCs w:val="20"/>
              </w:rPr>
              <w:t xml:space="preserve">Bruno </w:t>
            </w:r>
            <w:proofErr w:type="spellStart"/>
            <w:r w:rsidRPr="001624D9">
              <w:rPr>
                <w:rFonts w:ascii="Arial" w:hAnsi="Arial" w:cs="Tahoma"/>
                <w:color w:val="000000" w:themeColor="text1"/>
                <w:sz w:val="20"/>
                <w:szCs w:val="20"/>
              </w:rPr>
              <w:t>Arabian</w:t>
            </w:r>
            <w:proofErr w:type="spellEnd"/>
            <w:r w:rsidRPr="001624D9">
              <w:rPr>
                <w:rFonts w:ascii="Arial" w:hAnsi="Arial" w:cs="Tahoma"/>
                <w:color w:val="000000" w:themeColor="text1"/>
                <w:sz w:val="20"/>
                <w:szCs w:val="20"/>
              </w:rPr>
              <w:t xml:space="preserve"> </w:t>
            </w:r>
          </w:p>
          <w:p w14:paraId="3790ADBD" w14:textId="77777777" w:rsidR="00A566FA" w:rsidRPr="001624D9" w:rsidRDefault="00A566FA" w:rsidP="00BB7452">
            <w:pPr>
              <w:jc w:val="both"/>
              <w:rPr>
                <w:rFonts w:ascii="Arial" w:hAnsi="Arial" w:cs="Tahoma"/>
                <w:color w:val="000000" w:themeColor="text1"/>
                <w:sz w:val="20"/>
                <w:szCs w:val="20"/>
                <w:lang w:val="en-US"/>
              </w:rPr>
            </w:pPr>
            <w:r w:rsidRPr="001624D9">
              <w:rPr>
                <w:rFonts w:ascii="Arial" w:hAnsi="Arial" w:cs="Tahoma"/>
                <w:color w:val="000000" w:themeColor="text1"/>
                <w:sz w:val="20"/>
                <w:szCs w:val="20"/>
                <w:lang w:val="en-US"/>
              </w:rPr>
              <w:t>Tel: +33 (0) 81 70 96 96 30 / +33 (0) 6 87 88 47 26</w:t>
            </w:r>
          </w:p>
          <w:p w14:paraId="1CE03306" w14:textId="3434A065" w:rsidR="00A566FA" w:rsidRPr="001624D9" w:rsidRDefault="00A566FA" w:rsidP="00BB7452">
            <w:pPr>
              <w:jc w:val="both"/>
              <w:rPr>
                <w:rFonts w:ascii="Arial" w:hAnsi="Arial"/>
                <w:color w:val="000000" w:themeColor="text1"/>
                <w:sz w:val="20"/>
                <w:szCs w:val="20"/>
              </w:rPr>
            </w:pPr>
            <w:r w:rsidRPr="001624D9">
              <w:rPr>
                <w:rFonts w:ascii="Arial" w:hAnsi="Arial" w:cs="Tahoma"/>
                <w:color w:val="000000" w:themeColor="text1"/>
                <w:sz w:val="20"/>
                <w:szCs w:val="20"/>
              </w:rPr>
              <w:t xml:space="preserve">Email : </w:t>
            </w:r>
            <w:hyperlink r:id="rId20" w:history="1">
              <w:r w:rsidR="00BB7452" w:rsidRPr="00E14CCA">
                <w:rPr>
                  <w:rStyle w:val="Hyperlink"/>
                  <w:rFonts w:ascii="Arial" w:hAnsi="Arial" w:cs="Tahoma"/>
                  <w:sz w:val="20"/>
                  <w:szCs w:val="20"/>
                  <w:lang w:val="en-US"/>
                </w:rPr>
                <w:t>barabian@ulysse-communication.com</w:t>
              </w:r>
            </w:hyperlink>
            <w:r w:rsidR="00BB7452">
              <w:rPr>
                <w:rFonts w:ascii="Arial" w:hAnsi="Arial" w:cs="Tahoma"/>
                <w:color w:val="000000" w:themeColor="text1"/>
                <w:sz w:val="20"/>
                <w:szCs w:val="20"/>
                <w:lang w:val="en-US"/>
              </w:rPr>
              <w:t xml:space="preserve"> </w:t>
            </w:r>
          </w:p>
        </w:tc>
      </w:tr>
    </w:tbl>
    <w:p w14:paraId="4D25205F" w14:textId="77777777" w:rsidR="001F077E" w:rsidRPr="001624D9" w:rsidRDefault="001F077E" w:rsidP="00A566FA">
      <w:pPr>
        <w:jc w:val="both"/>
        <w:rPr>
          <w:rFonts w:ascii="Arial" w:hAnsi="Arial" w:cs="Tahoma"/>
          <w:color w:val="000000" w:themeColor="text1"/>
          <w:sz w:val="20"/>
          <w:szCs w:val="20"/>
        </w:rPr>
      </w:pPr>
    </w:p>
    <w:sectPr w:rsidR="001F077E" w:rsidRPr="001624D9" w:rsidSect="001624D9">
      <w:headerReference w:type="default" r:id="rId21"/>
      <w:pgSz w:w="11900" w:h="16840"/>
      <w:pgMar w:top="567" w:right="1418" w:bottom="56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037EC" w14:textId="77777777" w:rsidR="00226C76" w:rsidRDefault="00226C76">
      <w:r>
        <w:separator/>
      </w:r>
    </w:p>
  </w:endnote>
  <w:endnote w:type="continuationSeparator" w:id="0">
    <w:p w14:paraId="6656EE44" w14:textId="77777777" w:rsidR="00226C76" w:rsidRDefault="0022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235C8" w14:textId="77777777" w:rsidR="00226C76" w:rsidRDefault="00226C76">
      <w:r>
        <w:separator/>
      </w:r>
    </w:p>
  </w:footnote>
  <w:footnote w:type="continuationSeparator" w:id="0">
    <w:p w14:paraId="426EFF00" w14:textId="77777777" w:rsidR="00226C76" w:rsidRDefault="00226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5531F" w14:textId="3151AA18" w:rsidR="00680BC5" w:rsidRPr="00A92D6E" w:rsidRDefault="00680BC5" w:rsidP="00A92D6E">
    <w:pPr>
      <w:pStyle w:val="Header"/>
      <w:jc w:val="center"/>
      <w:rPr>
        <w:rFonts w:ascii="Century Gothic" w:hAnsi="Century Gothic"/>
        <w:color w:val="0F243E" w:themeColor="text2" w:themeShade="8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94246"/>
    <w:multiLevelType w:val="hybridMultilevel"/>
    <w:tmpl w:val="7C60E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8B25A3"/>
    <w:multiLevelType w:val="hybridMultilevel"/>
    <w:tmpl w:val="17E86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D85971"/>
    <w:multiLevelType w:val="hybridMultilevel"/>
    <w:tmpl w:val="2B0A7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6E"/>
    <w:rsid w:val="00020A71"/>
    <w:rsid w:val="0003527C"/>
    <w:rsid w:val="000630CD"/>
    <w:rsid w:val="00065B78"/>
    <w:rsid w:val="00071B3E"/>
    <w:rsid w:val="000A2489"/>
    <w:rsid w:val="000C4978"/>
    <w:rsid w:val="000D2A26"/>
    <w:rsid w:val="000E1C5B"/>
    <w:rsid w:val="000F432D"/>
    <w:rsid w:val="001200B4"/>
    <w:rsid w:val="00145D0B"/>
    <w:rsid w:val="001624D9"/>
    <w:rsid w:val="001747A0"/>
    <w:rsid w:val="00177C7A"/>
    <w:rsid w:val="00191412"/>
    <w:rsid w:val="00192040"/>
    <w:rsid w:val="001B4459"/>
    <w:rsid w:val="001B689F"/>
    <w:rsid w:val="001C270E"/>
    <w:rsid w:val="001F077E"/>
    <w:rsid w:val="001F461A"/>
    <w:rsid w:val="0020343F"/>
    <w:rsid w:val="00213022"/>
    <w:rsid w:val="00226C76"/>
    <w:rsid w:val="0023060F"/>
    <w:rsid w:val="00231892"/>
    <w:rsid w:val="002545DD"/>
    <w:rsid w:val="002718C3"/>
    <w:rsid w:val="00274D06"/>
    <w:rsid w:val="00276228"/>
    <w:rsid w:val="00282FFE"/>
    <w:rsid w:val="002920EB"/>
    <w:rsid w:val="00295F6F"/>
    <w:rsid w:val="002A4CDD"/>
    <w:rsid w:val="002E62FD"/>
    <w:rsid w:val="00310920"/>
    <w:rsid w:val="00330829"/>
    <w:rsid w:val="003371E4"/>
    <w:rsid w:val="00381D7F"/>
    <w:rsid w:val="0039536F"/>
    <w:rsid w:val="003B1121"/>
    <w:rsid w:val="003C5069"/>
    <w:rsid w:val="003D33E4"/>
    <w:rsid w:val="003D5F98"/>
    <w:rsid w:val="0042184E"/>
    <w:rsid w:val="004527F3"/>
    <w:rsid w:val="004542D9"/>
    <w:rsid w:val="004544B2"/>
    <w:rsid w:val="00460DD5"/>
    <w:rsid w:val="0048067C"/>
    <w:rsid w:val="004A1A98"/>
    <w:rsid w:val="004A551D"/>
    <w:rsid w:val="004A60D8"/>
    <w:rsid w:val="004A7137"/>
    <w:rsid w:val="004A7BAF"/>
    <w:rsid w:val="004C69EA"/>
    <w:rsid w:val="004E11E7"/>
    <w:rsid w:val="004E390F"/>
    <w:rsid w:val="005054A3"/>
    <w:rsid w:val="00534270"/>
    <w:rsid w:val="005343F2"/>
    <w:rsid w:val="00542633"/>
    <w:rsid w:val="0054279F"/>
    <w:rsid w:val="005463B6"/>
    <w:rsid w:val="00550A72"/>
    <w:rsid w:val="00575EE9"/>
    <w:rsid w:val="005949D9"/>
    <w:rsid w:val="005A6D5B"/>
    <w:rsid w:val="005A7AFD"/>
    <w:rsid w:val="005B56CF"/>
    <w:rsid w:val="005D5C5E"/>
    <w:rsid w:val="005E15E5"/>
    <w:rsid w:val="005E66AA"/>
    <w:rsid w:val="005F7470"/>
    <w:rsid w:val="00602C77"/>
    <w:rsid w:val="006054DA"/>
    <w:rsid w:val="006229CA"/>
    <w:rsid w:val="006701FE"/>
    <w:rsid w:val="00680BC5"/>
    <w:rsid w:val="0068125B"/>
    <w:rsid w:val="006815C0"/>
    <w:rsid w:val="00696C39"/>
    <w:rsid w:val="006B086F"/>
    <w:rsid w:val="006C4D09"/>
    <w:rsid w:val="00710D21"/>
    <w:rsid w:val="0073004C"/>
    <w:rsid w:val="007356C8"/>
    <w:rsid w:val="00743B35"/>
    <w:rsid w:val="007524A5"/>
    <w:rsid w:val="0075782F"/>
    <w:rsid w:val="00771DAC"/>
    <w:rsid w:val="0077534A"/>
    <w:rsid w:val="00787C32"/>
    <w:rsid w:val="007901D0"/>
    <w:rsid w:val="007A0C00"/>
    <w:rsid w:val="007A1231"/>
    <w:rsid w:val="007A1CA9"/>
    <w:rsid w:val="007B16A3"/>
    <w:rsid w:val="007B5CF5"/>
    <w:rsid w:val="007C28FC"/>
    <w:rsid w:val="007E468B"/>
    <w:rsid w:val="008025E2"/>
    <w:rsid w:val="008065D9"/>
    <w:rsid w:val="00807BDD"/>
    <w:rsid w:val="00810B02"/>
    <w:rsid w:val="00817E4E"/>
    <w:rsid w:val="00841C3E"/>
    <w:rsid w:val="00854A04"/>
    <w:rsid w:val="00863C9E"/>
    <w:rsid w:val="00864E74"/>
    <w:rsid w:val="00866B5D"/>
    <w:rsid w:val="008679AE"/>
    <w:rsid w:val="008754F5"/>
    <w:rsid w:val="0087609E"/>
    <w:rsid w:val="00882B88"/>
    <w:rsid w:val="00895EF7"/>
    <w:rsid w:val="008A2FF4"/>
    <w:rsid w:val="008B3702"/>
    <w:rsid w:val="008B6E15"/>
    <w:rsid w:val="008C473A"/>
    <w:rsid w:val="008E2E58"/>
    <w:rsid w:val="008E54B9"/>
    <w:rsid w:val="008F4A41"/>
    <w:rsid w:val="008F791A"/>
    <w:rsid w:val="00900F61"/>
    <w:rsid w:val="00944A29"/>
    <w:rsid w:val="0096504C"/>
    <w:rsid w:val="00967CF8"/>
    <w:rsid w:val="00980297"/>
    <w:rsid w:val="009C4573"/>
    <w:rsid w:val="009C654D"/>
    <w:rsid w:val="009E17E8"/>
    <w:rsid w:val="009E4B4A"/>
    <w:rsid w:val="009E5990"/>
    <w:rsid w:val="009F0F45"/>
    <w:rsid w:val="00A4166A"/>
    <w:rsid w:val="00A43FF8"/>
    <w:rsid w:val="00A47517"/>
    <w:rsid w:val="00A566FA"/>
    <w:rsid w:val="00A569CF"/>
    <w:rsid w:val="00A63AC1"/>
    <w:rsid w:val="00A76709"/>
    <w:rsid w:val="00A87F66"/>
    <w:rsid w:val="00A92D6E"/>
    <w:rsid w:val="00AA1297"/>
    <w:rsid w:val="00AB70BC"/>
    <w:rsid w:val="00AD556D"/>
    <w:rsid w:val="00AE7FE5"/>
    <w:rsid w:val="00B12316"/>
    <w:rsid w:val="00B440CE"/>
    <w:rsid w:val="00B7205B"/>
    <w:rsid w:val="00BB32E2"/>
    <w:rsid w:val="00BB5965"/>
    <w:rsid w:val="00BB7452"/>
    <w:rsid w:val="00BC736A"/>
    <w:rsid w:val="00BE4DB3"/>
    <w:rsid w:val="00BE78FF"/>
    <w:rsid w:val="00C1078A"/>
    <w:rsid w:val="00C176FB"/>
    <w:rsid w:val="00C17ED7"/>
    <w:rsid w:val="00C334D6"/>
    <w:rsid w:val="00C4359A"/>
    <w:rsid w:val="00C57801"/>
    <w:rsid w:val="00C64344"/>
    <w:rsid w:val="00C73074"/>
    <w:rsid w:val="00C7377D"/>
    <w:rsid w:val="00CA0563"/>
    <w:rsid w:val="00CB4D8C"/>
    <w:rsid w:val="00CE150E"/>
    <w:rsid w:val="00CE34F9"/>
    <w:rsid w:val="00CE7DFE"/>
    <w:rsid w:val="00D14E3E"/>
    <w:rsid w:val="00D231BF"/>
    <w:rsid w:val="00D4266F"/>
    <w:rsid w:val="00D45C79"/>
    <w:rsid w:val="00D653E9"/>
    <w:rsid w:val="00D76B06"/>
    <w:rsid w:val="00DD2ACC"/>
    <w:rsid w:val="00DF4132"/>
    <w:rsid w:val="00E02E1F"/>
    <w:rsid w:val="00E17F9F"/>
    <w:rsid w:val="00E2568B"/>
    <w:rsid w:val="00EB2B92"/>
    <w:rsid w:val="00EB42A2"/>
    <w:rsid w:val="00EC1E5A"/>
    <w:rsid w:val="00EE1A02"/>
    <w:rsid w:val="00EF1DC8"/>
    <w:rsid w:val="00EF66C9"/>
    <w:rsid w:val="00F00614"/>
    <w:rsid w:val="00F05F5C"/>
    <w:rsid w:val="00F12EE5"/>
    <w:rsid w:val="00F1707D"/>
    <w:rsid w:val="00F317D0"/>
    <w:rsid w:val="00F774DF"/>
    <w:rsid w:val="00F86501"/>
    <w:rsid w:val="00F9388A"/>
    <w:rsid w:val="00F97AFB"/>
  </w:rsids>
  <m:mathPr>
    <m:mathFont m:val="Cambria Math"/>
    <m:brkBin m:val="before"/>
    <m:brkBinSub m:val="--"/>
    <m:smallFrac m:val="0"/>
    <m:dispDef m:val="0"/>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52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6E"/>
    <w:pPr>
      <w:tabs>
        <w:tab w:val="center" w:pos="4536"/>
        <w:tab w:val="right" w:pos="9072"/>
      </w:tabs>
    </w:pPr>
  </w:style>
  <w:style w:type="character" w:customStyle="1" w:styleId="HeaderChar">
    <w:name w:val="Header Char"/>
    <w:basedOn w:val="DefaultParagraphFont"/>
    <w:link w:val="Header"/>
    <w:uiPriority w:val="99"/>
    <w:rsid w:val="00A92D6E"/>
    <w:rPr>
      <w:sz w:val="24"/>
      <w:szCs w:val="24"/>
    </w:rPr>
  </w:style>
  <w:style w:type="paragraph" w:styleId="Footer">
    <w:name w:val="footer"/>
    <w:basedOn w:val="Normal"/>
    <w:link w:val="FooterChar"/>
    <w:uiPriority w:val="99"/>
    <w:unhideWhenUsed/>
    <w:rsid w:val="00A92D6E"/>
    <w:pPr>
      <w:tabs>
        <w:tab w:val="center" w:pos="4536"/>
        <w:tab w:val="right" w:pos="9072"/>
      </w:tabs>
    </w:pPr>
  </w:style>
  <w:style w:type="character" w:customStyle="1" w:styleId="FooterChar">
    <w:name w:val="Footer Char"/>
    <w:basedOn w:val="DefaultParagraphFont"/>
    <w:link w:val="Footer"/>
    <w:uiPriority w:val="99"/>
    <w:rsid w:val="00A92D6E"/>
    <w:rPr>
      <w:sz w:val="24"/>
      <w:szCs w:val="24"/>
    </w:rPr>
  </w:style>
  <w:style w:type="paragraph" w:styleId="ListParagraph">
    <w:name w:val="List Paragraph"/>
    <w:basedOn w:val="Normal"/>
    <w:uiPriority w:val="34"/>
    <w:qFormat/>
    <w:rsid w:val="0042184E"/>
    <w:pPr>
      <w:ind w:left="720"/>
      <w:contextualSpacing/>
    </w:pPr>
  </w:style>
  <w:style w:type="character" w:styleId="Hyperlink">
    <w:name w:val="Hyperlink"/>
    <w:basedOn w:val="DefaultParagraphFont"/>
    <w:uiPriority w:val="99"/>
    <w:unhideWhenUsed/>
    <w:rsid w:val="001F077E"/>
    <w:rPr>
      <w:color w:val="0000FF" w:themeColor="hyperlink"/>
      <w:u w:val="single"/>
    </w:rPr>
  </w:style>
  <w:style w:type="paragraph" w:styleId="BalloonText">
    <w:name w:val="Balloon Text"/>
    <w:basedOn w:val="Normal"/>
    <w:link w:val="BalloonTextChar"/>
    <w:uiPriority w:val="99"/>
    <w:semiHidden/>
    <w:unhideWhenUsed/>
    <w:rsid w:val="00DD2A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ACC"/>
    <w:rPr>
      <w:rFonts w:ascii="Lucida Grande" w:hAnsi="Lucida Grande" w:cs="Lucida Grande"/>
      <w:sz w:val="18"/>
      <w:szCs w:val="18"/>
    </w:rPr>
  </w:style>
  <w:style w:type="paragraph" w:styleId="NormalWeb">
    <w:name w:val="Normal (Web)"/>
    <w:basedOn w:val="Normal"/>
    <w:uiPriority w:val="99"/>
    <w:unhideWhenUsed/>
    <w:rsid w:val="00DD2ACC"/>
    <w:pPr>
      <w:spacing w:before="100" w:beforeAutospacing="1" w:after="100" w:afterAutospacing="1"/>
    </w:pPr>
    <w:rPr>
      <w:rFonts w:ascii="Times" w:eastAsiaTheme="minorEastAsia" w:hAnsi="Times" w:cs="Times New Roman"/>
      <w:sz w:val="20"/>
      <w:szCs w:val="20"/>
      <w:lang w:eastAsia="fr-FR"/>
    </w:rPr>
  </w:style>
  <w:style w:type="character" w:styleId="CommentReference">
    <w:name w:val="annotation reference"/>
    <w:basedOn w:val="DefaultParagraphFont"/>
    <w:uiPriority w:val="99"/>
    <w:semiHidden/>
    <w:unhideWhenUsed/>
    <w:rsid w:val="009E5990"/>
    <w:rPr>
      <w:sz w:val="16"/>
      <w:szCs w:val="16"/>
    </w:rPr>
  </w:style>
  <w:style w:type="paragraph" w:styleId="CommentText">
    <w:name w:val="annotation text"/>
    <w:basedOn w:val="Normal"/>
    <w:link w:val="CommentTextChar"/>
    <w:uiPriority w:val="99"/>
    <w:semiHidden/>
    <w:unhideWhenUsed/>
    <w:rsid w:val="009E5990"/>
    <w:rPr>
      <w:sz w:val="20"/>
      <w:szCs w:val="20"/>
    </w:rPr>
  </w:style>
  <w:style w:type="character" w:customStyle="1" w:styleId="CommentTextChar">
    <w:name w:val="Comment Text Char"/>
    <w:basedOn w:val="DefaultParagraphFont"/>
    <w:link w:val="CommentText"/>
    <w:uiPriority w:val="99"/>
    <w:semiHidden/>
    <w:rsid w:val="009E5990"/>
  </w:style>
  <w:style w:type="paragraph" w:styleId="CommentSubject">
    <w:name w:val="annotation subject"/>
    <w:basedOn w:val="CommentText"/>
    <w:next w:val="CommentText"/>
    <w:link w:val="CommentSubjectChar"/>
    <w:uiPriority w:val="99"/>
    <w:semiHidden/>
    <w:unhideWhenUsed/>
    <w:rsid w:val="009E5990"/>
    <w:rPr>
      <w:b/>
      <w:bCs/>
    </w:rPr>
  </w:style>
  <w:style w:type="character" w:customStyle="1" w:styleId="CommentSubjectChar">
    <w:name w:val="Comment Subject Char"/>
    <w:basedOn w:val="CommentTextChar"/>
    <w:link w:val="CommentSubject"/>
    <w:uiPriority w:val="99"/>
    <w:semiHidden/>
    <w:rsid w:val="009E5990"/>
    <w:rPr>
      <w:b/>
      <w:bCs/>
    </w:rPr>
  </w:style>
  <w:style w:type="paragraph" w:styleId="Revision">
    <w:name w:val="Revision"/>
    <w:hidden/>
    <w:uiPriority w:val="99"/>
    <w:semiHidden/>
    <w:rsid w:val="00BB5965"/>
    <w:rPr>
      <w:sz w:val="24"/>
      <w:szCs w:val="24"/>
    </w:rPr>
  </w:style>
  <w:style w:type="table" w:styleId="TableGrid">
    <w:name w:val="Table Grid"/>
    <w:basedOn w:val="TableNormal"/>
    <w:uiPriority w:val="59"/>
    <w:rsid w:val="00A56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B7452"/>
    <w:rPr>
      <w:b/>
      <w:bCs/>
    </w:rPr>
  </w:style>
  <w:style w:type="character" w:customStyle="1" w:styleId="ui-iconui-icon-mail-closed">
    <w:name w:val="ui-icon ui-icon-mail-closed"/>
    <w:basedOn w:val="DefaultParagraphFont"/>
    <w:rsid w:val="00BB7452"/>
  </w:style>
  <w:style w:type="character" w:customStyle="1" w:styleId="ui-iconui-icon-eib-phone">
    <w:name w:val="ui-icon ui-icon-eib-phone"/>
    <w:basedOn w:val="DefaultParagraphFont"/>
    <w:rsid w:val="00BB7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6E"/>
    <w:pPr>
      <w:tabs>
        <w:tab w:val="center" w:pos="4536"/>
        <w:tab w:val="right" w:pos="9072"/>
      </w:tabs>
    </w:pPr>
  </w:style>
  <w:style w:type="character" w:customStyle="1" w:styleId="HeaderChar">
    <w:name w:val="Header Char"/>
    <w:basedOn w:val="DefaultParagraphFont"/>
    <w:link w:val="Header"/>
    <w:uiPriority w:val="99"/>
    <w:rsid w:val="00A92D6E"/>
    <w:rPr>
      <w:sz w:val="24"/>
      <w:szCs w:val="24"/>
    </w:rPr>
  </w:style>
  <w:style w:type="paragraph" w:styleId="Footer">
    <w:name w:val="footer"/>
    <w:basedOn w:val="Normal"/>
    <w:link w:val="FooterChar"/>
    <w:uiPriority w:val="99"/>
    <w:unhideWhenUsed/>
    <w:rsid w:val="00A92D6E"/>
    <w:pPr>
      <w:tabs>
        <w:tab w:val="center" w:pos="4536"/>
        <w:tab w:val="right" w:pos="9072"/>
      </w:tabs>
    </w:pPr>
  </w:style>
  <w:style w:type="character" w:customStyle="1" w:styleId="FooterChar">
    <w:name w:val="Footer Char"/>
    <w:basedOn w:val="DefaultParagraphFont"/>
    <w:link w:val="Footer"/>
    <w:uiPriority w:val="99"/>
    <w:rsid w:val="00A92D6E"/>
    <w:rPr>
      <w:sz w:val="24"/>
      <w:szCs w:val="24"/>
    </w:rPr>
  </w:style>
  <w:style w:type="paragraph" w:styleId="ListParagraph">
    <w:name w:val="List Paragraph"/>
    <w:basedOn w:val="Normal"/>
    <w:uiPriority w:val="34"/>
    <w:qFormat/>
    <w:rsid w:val="0042184E"/>
    <w:pPr>
      <w:ind w:left="720"/>
      <w:contextualSpacing/>
    </w:pPr>
  </w:style>
  <w:style w:type="character" w:styleId="Hyperlink">
    <w:name w:val="Hyperlink"/>
    <w:basedOn w:val="DefaultParagraphFont"/>
    <w:uiPriority w:val="99"/>
    <w:unhideWhenUsed/>
    <w:rsid w:val="001F077E"/>
    <w:rPr>
      <w:color w:val="0000FF" w:themeColor="hyperlink"/>
      <w:u w:val="single"/>
    </w:rPr>
  </w:style>
  <w:style w:type="paragraph" w:styleId="BalloonText">
    <w:name w:val="Balloon Text"/>
    <w:basedOn w:val="Normal"/>
    <w:link w:val="BalloonTextChar"/>
    <w:uiPriority w:val="99"/>
    <w:semiHidden/>
    <w:unhideWhenUsed/>
    <w:rsid w:val="00DD2A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ACC"/>
    <w:rPr>
      <w:rFonts w:ascii="Lucida Grande" w:hAnsi="Lucida Grande" w:cs="Lucida Grande"/>
      <w:sz w:val="18"/>
      <w:szCs w:val="18"/>
    </w:rPr>
  </w:style>
  <w:style w:type="paragraph" w:styleId="NormalWeb">
    <w:name w:val="Normal (Web)"/>
    <w:basedOn w:val="Normal"/>
    <w:uiPriority w:val="99"/>
    <w:unhideWhenUsed/>
    <w:rsid w:val="00DD2ACC"/>
    <w:pPr>
      <w:spacing w:before="100" w:beforeAutospacing="1" w:after="100" w:afterAutospacing="1"/>
    </w:pPr>
    <w:rPr>
      <w:rFonts w:ascii="Times" w:eastAsiaTheme="minorEastAsia" w:hAnsi="Times" w:cs="Times New Roman"/>
      <w:sz w:val="20"/>
      <w:szCs w:val="20"/>
      <w:lang w:eastAsia="fr-FR"/>
    </w:rPr>
  </w:style>
  <w:style w:type="character" w:styleId="CommentReference">
    <w:name w:val="annotation reference"/>
    <w:basedOn w:val="DefaultParagraphFont"/>
    <w:uiPriority w:val="99"/>
    <w:semiHidden/>
    <w:unhideWhenUsed/>
    <w:rsid w:val="009E5990"/>
    <w:rPr>
      <w:sz w:val="16"/>
      <w:szCs w:val="16"/>
    </w:rPr>
  </w:style>
  <w:style w:type="paragraph" w:styleId="CommentText">
    <w:name w:val="annotation text"/>
    <w:basedOn w:val="Normal"/>
    <w:link w:val="CommentTextChar"/>
    <w:uiPriority w:val="99"/>
    <w:semiHidden/>
    <w:unhideWhenUsed/>
    <w:rsid w:val="009E5990"/>
    <w:rPr>
      <w:sz w:val="20"/>
      <w:szCs w:val="20"/>
    </w:rPr>
  </w:style>
  <w:style w:type="character" w:customStyle="1" w:styleId="CommentTextChar">
    <w:name w:val="Comment Text Char"/>
    <w:basedOn w:val="DefaultParagraphFont"/>
    <w:link w:val="CommentText"/>
    <w:uiPriority w:val="99"/>
    <w:semiHidden/>
    <w:rsid w:val="009E5990"/>
  </w:style>
  <w:style w:type="paragraph" w:styleId="CommentSubject">
    <w:name w:val="annotation subject"/>
    <w:basedOn w:val="CommentText"/>
    <w:next w:val="CommentText"/>
    <w:link w:val="CommentSubjectChar"/>
    <w:uiPriority w:val="99"/>
    <w:semiHidden/>
    <w:unhideWhenUsed/>
    <w:rsid w:val="009E5990"/>
    <w:rPr>
      <w:b/>
      <w:bCs/>
    </w:rPr>
  </w:style>
  <w:style w:type="character" w:customStyle="1" w:styleId="CommentSubjectChar">
    <w:name w:val="Comment Subject Char"/>
    <w:basedOn w:val="CommentTextChar"/>
    <w:link w:val="CommentSubject"/>
    <w:uiPriority w:val="99"/>
    <w:semiHidden/>
    <w:rsid w:val="009E5990"/>
    <w:rPr>
      <w:b/>
      <w:bCs/>
    </w:rPr>
  </w:style>
  <w:style w:type="paragraph" w:styleId="Revision">
    <w:name w:val="Revision"/>
    <w:hidden/>
    <w:uiPriority w:val="99"/>
    <w:semiHidden/>
    <w:rsid w:val="00BB5965"/>
    <w:rPr>
      <w:sz w:val="24"/>
      <w:szCs w:val="24"/>
    </w:rPr>
  </w:style>
  <w:style w:type="table" w:styleId="TableGrid">
    <w:name w:val="Table Grid"/>
    <w:basedOn w:val="TableNormal"/>
    <w:uiPriority w:val="59"/>
    <w:rsid w:val="00A56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B7452"/>
    <w:rPr>
      <w:b/>
      <w:bCs/>
    </w:rPr>
  </w:style>
  <w:style w:type="character" w:customStyle="1" w:styleId="ui-iconui-icon-mail-closed">
    <w:name w:val="ui-icon ui-icon-mail-closed"/>
    <w:basedOn w:val="DefaultParagraphFont"/>
    <w:rsid w:val="00BB7452"/>
  </w:style>
  <w:style w:type="character" w:customStyle="1" w:styleId="ui-iconui-icon-eib-phone">
    <w:name w:val="ui-icon ui-icon-eib-phone"/>
    <w:basedOn w:val="DefaultParagraphFont"/>
    <w:rsid w:val="00BB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287088">
      <w:bodyDiv w:val="1"/>
      <w:marLeft w:val="0"/>
      <w:marRight w:val="0"/>
      <w:marTop w:val="0"/>
      <w:marBottom w:val="0"/>
      <w:divBdr>
        <w:top w:val="none" w:sz="0" w:space="0" w:color="auto"/>
        <w:left w:val="none" w:sz="0" w:space="0" w:color="auto"/>
        <w:bottom w:val="none" w:sz="0" w:space="0" w:color="auto"/>
        <w:right w:val="none" w:sz="0" w:space="0" w:color="auto"/>
      </w:divBdr>
    </w:div>
    <w:div w:id="1753313927">
      <w:bodyDiv w:val="1"/>
      <w:marLeft w:val="0"/>
      <w:marRight w:val="0"/>
      <w:marTop w:val="0"/>
      <w:marBottom w:val="0"/>
      <w:divBdr>
        <w:top w:val="none" w:sz="0" w:space="0" w:color="auto"/>
        <w:left w:val="none" w:sz="0" w:space="0" w:color="auto"/>
        <w:bottom w:val="none" w:sz="0" w:space="0" w:color="auto"/>
        <w:right w:val="none" w:sz="0" w:space="0" w:color="auto"/>
      </w:divBdr>
      <w:divsChild>
        <w:div w:id="1132790940">
          <w:marLeft w:val="0"/>
          <w:marRight w:val="0"/>
          <w:marTop w:val="0"/>
          <w:marBottom w:val="0"/>
          <w:divBdr>
            <w:top w:val="none" w:sz="0" w:space="0" w:color="auto"/>
            <w:left w:val="none" w:sz="0" w:space="0" w:color="auto"/>
            <w:bottom w:val="none" w:sz="0" w:space="0" w:color="auto"/>
            <w:right w:val="none" w:sz="0" w:space="0" w:color="auto"/>
          </w:divBdr>
          <w:divsChild>
            <w:div w:id="2064517236">
              <w:marLeft w:val="0"/>
              <w:marRight w:val="0"/>
              <w:marTop w:val="0"/>
              <w:marBottom w:val="0"/>
              <w:divBdr>
                <w:top w:val="none" w:sz="0" w:space="0" w:color="auto"/>
                <w:left w:val="none" w:sz="0" w:space="0" w:color="auto"/>
                <w:bottom w:val="none" w:sz="0" w:space="0" w:color="auto"/>
                <w:right w:val="none" w:sz="0" w:space="0" w:color="auto"/>
              </w:divBdr>
              <w:divsChild>
                <w:div w:id="7594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b.org/infocentre/publications/all/the-eib-group-in-france-in-2016.htm" TargetMode="External"/><Relationship Id="rId18" Type="http://schemas.openxmlformats.org/officeDocument/2006/relationships/hyperlink" Target="https://twitter.com/eib"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ib.org" TargetMode="External"/><Relationship Id="rId17" Type="http://schemas.openxmlformats.org/officeDocument/2006/relationships/hyperlink" Target="mailto:presse@bei.org" TargetMode="External"/><Relationship Id="rId2" Type="http://schemas.openxmlformats.org/officeDocument/2006/relationships/numbering" Target="numbering.xml"/><Relationship Id="rId16" Type="http://schemas.openxmlformats.org/officeDocument/2006/relationships/hyperlink" Target="http://www.bei.org/press" TargetMode="External"/><Relationship Id="rId20" Type="http://schemas.openxmlformats.org/officeDocument/2006/relationships/hyperlink" Target="mailto:barabian@ulysse-communicati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a.auguin@bei.or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contacts@davolterr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avolterra.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1930CA2-9AD1-4BD9-9B83-5A5BF96B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1298</Words>
  <Characters>7402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milestones</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Jacques-Olivier Costa</dc:creator>
  <cp:lastModifiedBy>HENRY Nadine</cp:lastModifiedBy>
  <cp:revision>6</cp:revision>
  <cp:lastPrinted>2017-09-21T14:25:00Z</cp:lastPrinted>
  <dcterms:created xsi:type="dcterms:W3CDTF">2017-09-22T07:08:00Z</dcterms:created>
  <dcterms:modified xsi:type="dcterms:W3CDTF">2017-09-22T07:28:00Z</dcterms:modified>
</cp:coreProperties>
</file>