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1B0A" w14:textId="79CDD747" w:rsidR="00101580" w:rsidRPr="00742F34" w:rsidRDefault="00050F36" w:rsidP="004C183E">
      <w:pPr>
        <w:spacing w:line="360" w:lineRule="auto"/>
        <w:ind w:left="-284" w:hanging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C8AA3D" wp14:editId="3B23EB56">
            <wp:extent cx="6408000" cy="714768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_Anavaj_Log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0" cy="7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6F6F" w14:textId="77777777" w:rsidR="00692F6A" w:rsidRPr="00E362AF" w:rsidRDefault="00692F6A" w:rsidP="005F0BB9">
      <w:pPr>
        <w:pStyle w:val="En-tte"/>
        <w:tabs>
          <w:tab w:val="left" w:pos="0"/>
        </w:tabs>
        <w:spacing w:line="360" w:lineRule="auto"/>
        <w:ind w:hanging="426"/>
        <w:rPr>
          <w:rFonts w:ascii="Arial" w:hAnsi="Arial" w:cs="Arial"/>
          <w:b/>
          <w:color w:val="FF0000"/>
          <w:spacing w:val="12"/>
          <w:sz w:val="18"/>
          <w:szCs w:val="18"/>
          <w:highlight w:val="yellow"/>
        </w:rPr>
      </w:pPr>
    </w:p>
    <w:p w14:paraId="2DB86E05" w14:textId="77777777" w:rsidR="00E362AF" w:rsidRPr="00E362AF" w:rsidRDefault="00E362AF" w:rsidP="00E362AF">
      <w:pPr>
        <w:pStyle w:val="En-tte"/>
        <w:tabs>
          <w:tab w:val="left" w:pos="0"/>
        </w:tabs>
        <w:spacing w:line="360" w:lineRule="auto"/>
        <w:rPr>
          <w:rFonts w:ascii="Arial" w:hAnsi="Arial" w:cs="Arial"/>
          <w:b/>
          <w:color w:val="FF0000"/>
          <w:spacing w:val="12"/>
          <w:sz w:val="18"/>
          <w:szCs w:val="18"/>
          <w:highlight w:val="yellow"/>
        </w:rPr>
      </w:pPr>
    </w:p>
    <w:p w14:paraId="17617B81" w14:textId="77777777" w:rsidR="00E362AF" w:rsidRPr="00E706E2" w:rsidRDefault="00E362AF" w:rsidP="005F0BB9">
      <w:pPr>
        <w:pStyle w:val="En-tte"/>
        <w:tabs>
          <w:tab w:val="left" w:pos="0"/>
        </w:tabs>
        <w:spacing w:line="360" w:lineRule="auto"/>
        <w:ind w:hanging="426"/>
        <w:rPr>
          <w:rFonts w:ascii="Arial" w:hAnsi="Arial" w:cs="Arial"/>
          <w:b/>
          <w:color w:val="FF0000"/>
          <w:spacing w:val="12"/>
          <w:sz w:val="4"/>
          <w:szCs w:val="4"/>
        </w:rPr>
      </w:pPr>
    </w:p>
    <w:p w14:paraId="47A63F17" w14:textId="5C413146" w:rsidR="00572C1A" w:rsidRPr="00E706E2" w:rsidRDefault="001F4F19" w:rsidP="005F0BB9">
      <w:pPr>
        <w:pStyle w:val="En-tte"/>
        <w:tabs>
          <w:tab w:val="left" w:pos="0"/>
        </w:tabs>
        <w:spacing w:line="360" w:lineRule="auto"/>
        <w:ind w:hanging="426"/>
        <w:rPr>
          <w:rFonts w:ascii="Arial" w:hAnsi="Arial" w:cs="Arial"/>
          <w:b/>
          <w:spacing w:val="12"/>
          <w:sz w:val="18"/>
          <w:szCs w:val="18"/>
        </w:rPr>
      </w:pPr>
      <w:r>
        <w:rPr>
          <w:rFonts w:ascii="Arial" w:hAnsi="Arial" w:cs="Arial"/>
          <w:b/>
          <w:spacing w:val="12"/>
          <w:sz w:val="18"/>
          <w:szCs w:val="18"/>
        </w:rPr>
        <w:t>25</w:t>
      </w:r>
      <w:r w:rsidR="00391F18" w:rsidRPr="00E706E2">
        <w:rPr>
          <w:rFonts w:ascii="Arial" w:hAnsi="Arial" w:cs="Arial"/>
          <w:b/>
          <w:spacing w:val="12"/>
          <w:sz w:val="18"/>
          <w:szCs w:val="18"/>
        </w:rPr>
        <w:t xml:space="preserve"> SEPTEMBRE </w:t>
      </w:r>
      <w:r w:rsidR="00440F21" w:rsidRPr="00E706E2">
        <w:rPr>
          <w:rFonts w:ascii="Arial" w:hAnsi="Arial" w:cs="Arial"/>
          <w:b/>
          <w:spacing w:val="12"/>
          <w:sz w:val="18"/>
          <w:szCs w:val="18"/>
        </w:rPr>
        <w:t>2017</w:t>
      </w:r>
    </w:p>
    <w:p w14:paraId="3BE40BF0" w14:textId="47072420" w:rsidR="00FD73BD" w:rsidRPr="00742F34" w:rsidRDefault="00FD73BD" w:rsidP="00746CF0">
      <w:pPr>
        <w:pStyle w:val="En-tte"/>
        <w:ind w:hanging="709"/>
        <w:rPr>
          <w:sz w:val="16"/>
          <w:szCs w:val="16"/>
        </w:rPr>
      </w:pP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746CF0" w:rsidRPr="00742F34" w14:paraId="61B561BD" w14:textId="77777777" w:rsidTr="0073238E">
        <w:trPr>
          <w:trHeight w:val="1088"/>
        </w:trPr>
        <w:tc>
          <w:tcPr>
            <w:tcW w:w="5954" w:type="dxa"/>
          </w:tcPr>
          <w:p w14:paraId="6C6BF6FB" w14:textId="765A0EB5" w:rsidR="00746CF0" w:rsidRPr="00742F34" w:rsidRDefault="00266D37" w:rsidP="00004C6B">
            <w:pPr>
              <w:pStyle w:val="En-tte"/>
              <w:ind w:hanging="108"/>
            </w:pPr>
            <w:r w:rsidRPr="00742F34">
              <w:rPr>
                <w:noProof/>
                <w:sz w:val="16"/>
                <w:szCs w:val="16"/>
              </w:rPr>
              <w:drawing>
                <wp:inline distT="0" distB="0" distL="0" distR="0" wp14:anchorId="77F33727" wp14:editId="4897C7AE">
                  <wp:extent cx="3649153" cy="600395"/>
                  <wp:effectExtent l="0" t="0" r="8890" b="9525"/>
                  <wp:docPr id="7" name="Image 7" descr="Macintosh HD:Users:ejones:Desktop:Communique Presse:com pres mars 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ejones:Desktop:Communique Presse:com pres mars 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53" cy="60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4EEDF4B" w14:textId="3A716172" w:rsidR="00746CF0" w:rsidRPr="00A54179" w:rsidRDefault="00FD73BD" w:rsidP="00FD73BD">
            <w:pPr>
              <w:pStyle w:val="En-tte"/>
              <w:tabs>
                <w:tab w:val="clear" w:pos="4536"/>
                <w:tab w:val="clear" w:pos="9072"/>
                <w:tab w:val="left" w:pos="1184"/>
              </w:tabs>
              <w:ind w:hanging="108"/>
              <w:rPr>
                <w:sz w:val="30"/>
                <w:szCs w:val="30"/>
              </w:rPr>
            </w:pPr>
            <w:r w:rsidRPr="00B14682">
              <w:rPr>
                <w:sz w:val="30"/>
                <w:szCs w:val="30"/>
              </w:rPr>
              <w:tab/>
            </w:r>
            <w:r w:rsidRPr="00B14682">
              <w:rPr>
                <w:sz w:val="30"/>
                <w:szCs w:val="30"/>
              </w:rPr>
              <w:tab/>
            </w:r>
          </w:p>
          <w:p w14:paraId="5AF8E722" w14:textId="71968848" w:rsidR="00746CF0" w:rsidRPr="00742F34" w:rsidRDefault="00746CF0" w:rsidP="00004C6B">
            <w:pPr>
              <w:pStyle w:val="En-tte"/>
              <w:spacing w:line="276" w:lineRule="auto"/>
              <w:ind w:left="176" w:hanging="284"/>
            </w:pPr>
          </w:p>
          <w:p w14:paraId="7ED8E425" w14:textId="36F72EFD" w:rsidR="00746CF0" w:rsidRPr="00742F34" w:rsidRDefault="00746CF0" w:rsidP="00CC682F">
            <w:pPr>
              <w:pStyle w:val="En-tte"/>
              <w:spacing w:line="276" w:lineRule="auto"/>
              <w:ind w:left="176" w:hanging="284"/>
            </w:pPr>
          </w:p>
        </w:tc>
      </w:tr>
    </w:tbl>
    <w:p w14:paraId="19AAEB3D" w14:textId="44F9523D" w:rsidR="00746CF0" w:rsidRPr="00742F34" w:rsidRDefault="0044489F" w:rsidP="00686076">
      <w:pPr>
        <w:pStyle w:val="En-tte"/>
        <w:tabs>
          <w:tab w:val="clear" w:pos="4536"/>
          <w:tab w:val="clear" w:pos="9072"/>
          <w:tab w:val="left" w:pos="656"/>
          <w:tab w:val="left" w:pos="708"/>
          <w:tab w:val="left" w:pos="5664"/>
        </w:tabs>
        <w:ind w:hanging="709"/>
        <w:rPr>
          <w:sz w:val="16"/>
          <w:szCs w:val="16"/>
        </w:rPr>
      </w:pPr>
      <w:r w:rsidRPr="00742F34">
        <w:rPr>
          <w:sz w:val="16"/>
          <w:szCs w:val="16"/>
        </w:rPr>
        <w:tab/>
      </w:r>
    </w:p>
    <w:p w14:paraId="4D0F3164" w14:textId="0FCE8BDF" w:rsidR="00746CF0" w:rsidRPr="00742F34" w:rsidRDefault="00746CF0" w:rsidP="005F0BB9">
      <w:pPr>
        <w:ind w:left="459" w:right="-2126" w:hanging="885"/>
      </w:pPr>
      <w:r w:rsidRPr="00742F34">
        <w:rPr>
          <w:rFonts w:ascii="Times" w:hAnsi="Times" w:cs="Arial"/>
          <w:sz w:val="40"/>
          <w:szCs w:val="40"/>
        </w:rPr>
        <w:t xml:space="preserve"> </w:t>
      </w:r>
      <w:r w:rsidR="003E31A3">
        <w:rPr>
          <w:noProof/>
        </w:rPr>
        <w:drawing>
          <wp:inline distT="0" distB="0" distL="0" distR="0" wp14:anchorId="01D8A8BB" wp14:editId="6FCDC2AE">
            <wp:extent cx="6210300" cy="27336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4B5" w:rsidRPr="00742F34">
        <w:softHyphen/>
      </w:r>
    </w:p>
    <w:p w14:paraId="5AE6A5F0" w14:textId="77777777" w:rsidR="00746CF0" w:rsidRPr="00742F34" w:rsidRDefault="00746CF0" w:rsidP="00746CF0">
      <w:pPr>
        <w:pStyle w:val="En-tte"/>
        <w:ind w:hanging="142"/>
        <w:rPr>
          <w:rFonts w:ascii="Arial" w:hAnsi="Arial" w:cs="Arial"/>
          <w:b/>
          <w:spacing w:val="12"/>
        </w:rPr>
      </w:pPr>
    </w:p>
    <w:p w14:paraId="7FA3B696" w14:textId="77777777" w:rsidR="00746CF0" w:rsidRPr="00742F34" w:rsidRDefault="00746CF0" w:rsidP="00746CF0">
      <w:pPr>
        <w:tabs>
          <w:tab w:val="left" w:pos="3260"/>
        </w:tabs>
        <w:ind w:left="459" w:right="-2126" w:hanging="567"/>
        <w:rPr>
          <w:rFonts w:ascii="Arial" w:hAnsi="Arial" w:cs="Arial"/>
          <w:b/>
          <w:color w:val="FF0000"/>
          <w:sz w:val="2"/>
          <w:szCs w:val="2"/>
        </w:rPr>
      </w:pPr>
      <w:r w:rsidRPr="00742F34">
        <w:rPr>
          <w:rFonts w:ascii="Arial" w:hAnsi="Arial" w:cs="Arial"/>
          <w:b/>
          <w:color w:val="FF0000"/>
          <w:sz w:val="2"/>
          <w:szCs w:val="2"/>
        </w:rPr>
        <w:tab/>
      </w:r>
      <w:r w:rsidRPr="00742F34">
        <w:rPr>
          <w:rFonts w:ascii="Arial" w:hAnsi="Arial" w:cs="Arial"/>
          <w:b/>
          <w:color w:val="FF0000"/>
          <w:sz w:val="2"/>
          <w:szCs w:val="2"/>
        </w:rPr>
        <w:tab/>
      </w:r>
    </w:p>
    <w:p w14:paraId="46A09AF1" w14:textId="0BFBBB82" w:rsidR="00746CF0" w:rsidRPr="00742F34" w:rsidRDefault="00DC5922" w:rsidP="00ED7D6E">
      <w:pPr>
        <w:spacing w:line="276" w:lineRule="auto"/>
        <w:ind w:left="-426" w:right="1"/>
        <w:rPr>
          <w:rFonts w:ascii="Times" w:hAnsi="Times" w:cs="Arial"/>
          <w:sz w:val="44"/>
          <w:szCs w:val="52"/>
        </w:rPr>
      </w:pPr>
      <w:r>
        <w:rPr>
          <w:rFonts w:ascii="Times" w:hAnsi="Times" w:cs="Arial"/>
          <w:sz w:val="44"/>
          <w:szCs w:val="52"/>
        </w:rPr>
        <w:t>Dengue : comprendre les mécanismes permett</w:t>
      </w:r>
      <w:r w:rsidR="00975444">
        <w:rPr>
          <w:rFonts w:ascii="Times" w:hAnsi="Times" w:cs="Arial"/>
          <w:sz w:val="44"/>
          <w:szCs w:val="52"/>
        </w:rPr>
        <w:t>a</w:t>
      </w:r>
      <w:r>
        <w:rPr>
          <w:rFonts w:ascii="Times" w:hAnsi="Times" w:cs="Arial"/>
          <w:sz w:val="44"/>
          <w:szCs w:val="52"/>
        </w:rPr>
        <w:t xml:space="preserve">nt de ne pas développer les symptômes </w:t>
      </w:r>
      <w:r w:rsidR="007D7A2F">
        <w:rPr>
          <w:rFonts w:ascii="Times" w:hAnsi="Times" w:cs="Arial"/>
          <w:sz w:val="44"/>
          <w:szCs w:val="52"/>
        </w:rPr>
        <w:t>suite à une infection</w:t>
      </w:r>
    </w:p>
    <w:p w14:paraId="1C2FAFCD" w14:textId="77777777" w:rsidR="00ED7D6E" w:rsidRPr="00742F34" w:rsidRDefault="00ED7D6E" w:rsidP="00ED7D6E">
      <w:pPr>
        <w:spacing w:line="276" w:lineRule="auto"/>
        <w:ind w:left="-426" w:right="1"/>
        <w:rPr>
          <w:rFonts w:ascii="Times" w:hAnsi="Times" w:cs="Arial"/>
          <w:sz w:val="20"/>
          <w:szCs w:val="20"/>
        </w:rPr>
      </w:pPr>
    </w:p>
    <w:p w14:paraId="2DB92339" w14:textId="4AD88098" w:rsidR="00746CF0" w:rsidRPr="00742F34" w:rsidRDefault="00440F21" w:rsidP="00440F21">
      <w:pPr>
        <w:tabs>
          <w:tab w:val="left" w:pos="592"/>
        </w:tabs>
        <w:ind w:hanging="851"/>
        <w:rPr>
          <w:sz w:val="8"/>
          <w:szCs w:val="8"/>
        </w:rPr>
      </w:pPr>
      <w:r w:rsidRPr="00742F34">
        <w:rPr>
          <w:sz w:val="8"/>
          <w:szCs w:val="8"/>
        </w:rPr>
        <w:tab/>
      </w:r>
      <w:r w:rsidRPr="00742F34">
        <w:rPr>
          <w:sz w:val="8"/>
          <w:szCs w:val="8"/>
        </w:rPr>
        <w:tab/>
      </w:r>
    </w:p>
    <w:tbl>
      <w:tblPr>
        <w:tblStyle w:val="Grilledutableau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746CF0" w:rsidRPr="00742F34" w14:paraId="2DC4B85B" w14:textId="77777777" w:rsidTr="00140407">
        <w:tc>
          <w:tcPr>
            <w:tcW w:w="2694" w:type="dxa"/>
          </w:tcPr>
          <w:p w14:paraId="3289170D" w14:textId="227EBC56" w:rsidR="00746CF0" w:rsidRPr="00ED75F6" w:rsidRDefault="00ED75F6" w:rsidP="00ED75F6">
            <w:pPr>
              <w:tabs>
                <w:tab w:val="left" w:pos="0"/>
                <w:tab w:val="left" w:pos="2728"/>
              </w:tabs>
              <w:ind w:left="317" w:right="-108"/>
              <w:rPr>
                <w:rFonts w:ascii="Times" w:eastAsia="Times New Roman" w:hAnsi="Times" w:cs="Arial"/>
                <w:iCs/>
                <w:color w:val="808080" w:themeColor="background1" w:themeShade="80"/>
                <w:sz w:val="18"/>
                <w:szCs w:val="18"/>
              </w:rPr>
            </w:pPr>
            <w:r w:rsidRPr="00F43EB4">
              <w:rPr>
                <w:rStyle w:val="Accentuation"/>
                <w:rFonts w:ascii="Times" w:eastAsia="Times New Roman" w:hAnsi="Times" w:cs="Arial"/>
                <w:i w:val="0"/>
                <w:color w:val="808080" w:themeColor="background1" w:themeShade="80"/>
                <w:sz w:val="18"/>
                <w:szCs w:val="18"/>
              </w:rPr>
              <w:t>Cellules neuronales murines infectées par le virus de la dengue type 1</w:t>
            </w:r>
            <w:r w:rsidR="00ED7D6E" w:rsidRPr="00742F34">
              <w:rPr>
                <w:rStyle w:val="Accentuation"/>
                <w:rFonts w:ascii="Times" w:eastAsia="Times New Roman" w:hAnsi="Times" w:cs="Arial"/>
                <w:i w:val="0"/>
                <w:color w:val="7F7F7F" w:themeColor="text1" w:themeTint="80"/>
                <w:sz w:val="18"/>
                <w:szCs w:val="18"/>
              </w:rPr>
              <w:t>.</w:t>
            </w:r>
            <w:r>
              <w:rPr>
                <w:rStyle w:val="Accentuation"/>
                <w:rFonts w:ascii="Times" w:eastAsia="Times New Roman" w:hAnsi="Times" w:cs="Arial"/>
                <w:i w:val="0"/>
                <w:color w:val="7F7F7F" w:themeColor="text1" w:themeTint="80"/>
                <w:sz w:val="18"/>
                <w:szCs w:val="18"/>
              </w:rPr>
              <w:t xml:space="preserve"> Image colorisée, le virion est en vert.</w:t>
            </w:r>
            <w:r w:rsidR="00ED7D6E" w:rsidRPr="00742F34">
              <w:rPr>
                <w:rStyle w:val="Accentuation"/>
                <w:rFonts w:ascii="Times" w:eastAsia="Times New Roman" w:hAnsi="Times" w:cs="Arial"/>
                <w:i w:val="0"/>
                <w:color w:val="7F7F7F" w:themeColor="text1" w:themeTint="80"/>
                <w:sz w:val="18"/>
                <w:szCs w:val="18"/>
              </w:rPr>
              <w:br/>
              <w:t>© Institut Pasteur.</w:t>
            </w:r>
          </w:p>
        </w:tc>
        <w:tc>
          <w:tcPr>
            <w:tcW w:w="7938" w:type="dxa"/>
            <w:tcBorders>
              <w:left w:val="nil"/>
            </w:tcBorders>
          </w:tcPr>
          <w:p w14:paraId="5046234A" w14:textId="06C56D03" w:rsidR="00746CF0" w:rsidRPr="00742F34" w:rsidRDefault="00ED7D6E" w:rsidP="00975444">
            <w:pPr>
              <w:tabs>
                <w:tab w:val="left" w:pos="7688"/>
              </w:tabs>
              <w:spacing w:line="276" w:lineRule="auto"/>
              <w:ind w:left="176" w:right="-108"/>
              <w:rPr>
                <w:rFonts w:ascii="Arial Narrow" w:hAnsi="Arial Narrow" w:cs="Arial"/>
                <w:b/>
              </w:rPr>
            </w:pPr>
            <w:r w:rsidRPr="00B14682">
              <w:rPr>
                <w:rFonts w:ascii="Arial Narrow" w:eastAsia="Times New Roman" w:hAnsi="Arial Narrow" w:cs="Arial"/>
                <w:b/>
              </w:rPr>
              <w:t xml:space="preserve">Des chercheurs de l’Institut Pasteur </w:t>
            </w:r>
            <w:r w:rsidR="00B75FA9">
              <w:rPr>
                <w:rFonts w:ascii="Arial Narrow" w:eastAsia="Times New Roman" w:hAnsi="Arial Narrow" w:cs="Arial"/>
                <w:b/>
              </w:rPr>
              <w:t>à</w:t>
            </w:r>
            <w:r w:rsidR="00BD0298" w:rsidRPr="00A54179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A05C2E" w:rsidRPr="00742F34">
              <w:rPr>
                <w:rFonts w:ascii="Arial Narrow" w:eastAsia="Times New Roman" w:hAnsi="Arial Narrow" w:cs="Arial"/>
                <w:b/>
              </w:rPr>
              <w:t xml:space="preserve">Paris </w:t>
            </w:r>
            <w:r w:rsidRPr="00742F34">
              <w:rPr>
                <w:rFonts w:ascii="Arial Narrow" w:eastAsia="Times New Roman" w:hAnsi="Arial Narrow" w:cs="Arial"/>
                <w:b/>
              </w:rPr>
              <w:t xml:space="preserve">et </w:t>
            </w:r>
            <w:r w:rsidR="00BD0298" w:rsidRPr="00742F34">
              <w:rPr>
                <w:rFonts w:ascii="Arial Narrow" w:eastAsia="Times New Roman" w:hAnsi="Arial Narrow" w:cs="Arial"/>
                <w:b/>
              </w:rPr>
              <w:t xml:space="preserve">de </w:t>
            </w:r>
            <w:r w:rsidR="00A05C2E" w:rsidRPr="00742F34">
              <w:rPr>
                <w:rFonts w:ascii="Arial Narrow" w:eastAsia="Times New Roman" w:hAnsi="Arial Narrow" w:cs="Arial"/>
                <w:b/>
              </w:rPr>
              <w:t xml:space="preserve">l’Institut Pasteur </w:t>
            </w:r>
            <w:r w:rsidR="00A53C22" w:rsidRPr="00742F34">
              <w:rPr>
                <w:rFonts w:ascii="Arial Narrow" w:eastAsia="Times New Roman" w:hAnsi="Arial Narrow" w:cs="Arial"/>
                <w:b/>
              </w:rPr>
              <w:t>d</w:t>
            </w:r>
            <w:r w:rsidR="00A05C2E" w:rsidRPr="00742F34">
              <w:rPr>
                <w:rFonts w:ascii="Arial Narrow" w:eastAsia="Times New Roman" w:hAnsi="Arial Narrow" w:cs="Arial"/>
                <w:b/>
              </w:rPr>
              <w:t>u</w:t>
            </w:r>
            <w:r w:rsidRPr="00742F34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756DA8" w:rsidRPr="00742F34">
              <w:rPr>
                <w:rFonts w:ascii="Arial Narrow" w:eastAsia="Times New Roman" w:hAnsi="Arial Narrow" w:cs="Arial"/>
                <w:b/>
              </w:rPr>
              <w:t xml:space="preserve">Cambodge, en collaboration avec des équipes du 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>CNRS</w:t>
            </w:r>
            <w:r w:rsidRPr="00742F34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B75FA9">
              <w:rPr>
                <w:rFonts w:ascii="Arial Narrow" w:eastAsia="Times New Roman" w:hAnsi="Arial Narrow" w:cs="Arial"/>
                <w:b/>
              </w:rPr>
              <w:t>et d’</w:t>
            </w:r>
            <w:proofErr w:type="spellStart"/>
            <w:r w:rsidR="00756DA8" w:rsidRPr="00742F34">
              <w:rPr>
                <w:rFonts w:ascii="Arial Narrow" w:eastAsia="Times New Roman" w:hAnsi="Arial Narrow" w:cs="Arial"/>
                <w:b/>
              </w:rPr>
              <w:t>I</w:t>
            </w:r>
            <w:r w:rsidR="00975444">
              <w:rPr>
                <w:rFonts w:ascii="Arial Narrow" w:eastAsia="Times New Roman" w:hAnsi="Arial Narrow" w:cs="Arial"/>
                <w:b/>
              </w:rPr>
              <w:t>nria</w:t>
            </w:r>
            <w:proofErr w:type="spellEnd"/>
            <w:r w:rsidR="00A05C2E" w:rsidRPr="00742F34">
              <w:rPr>
                <w:rFonts w:ascii="Arial Narrow" w:eastAsia="Times New Roman" w:hAnsi="Arial Narrow" w:cs="Arial"/>
                <w:b/>
              </w:rPr>
              <w:t>,</w:t>
            </w:r>
            <w:r w:rsidR="00756DA8" w:rsidRPr="00742F34">
              <w:rPr>
                <w:rFonts w:ascii="Arial Narrow" w:eastAsia="Times New Roman" w:hAnsi="Arial Narrow" w:cs="Arial"/>
                <w:b/>
              </w:rPr>
              <w:t xml:space="preserve"> ont démontré que l’infection par la dengue chez des enfants asympt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>o</w:t>
            </w:r>
            <w:r w:rsidR="00756DA8" w:rsidRPr="00742F34">
              <w:rPr>
                <w:rFonts w:ascii="Arial Narrow" w:eastAsia="Times New Roman" w:hAnsi="Arial Narrow" w:cs="Arial"/>
                <w:b/>
              </w:rPr>
              <w:t xml:space="preserve">matiques est associée à une activation du système immunitaire 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 xml:space="preserve">utilisant des mécanismes </w:t>
            </w:r>
            <w:r w:rsidR="00312194">
              <w:rPr>
                <w:rFonts w:ascii="Arial Narrow" w:eastAsia="Times New Roman" w:hAnsi="Arial Narrow" w:cs="Arial"/>
                <w:b/>
              </w:rPr>
              <w:t xml:space="preserve">de contrôle 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 xml:space="preserve">qui permettent d’éliminer l’infection virale sans activation excessive de l’immunité. Cette étude, </w:t>
            </w:r>
            <w:r w:rsidRPr="00742F34">
              <w:rPr>
                <w:rFonts w:ascii="Arial Narrow" w:eastAsia="Times New Roman" w:hAnsi="Arial Narrow" w:cs="Arial"/>
                <w:b/>
              </w:rPr>
              <w:t xml:space="preserve">publiée dans le journal scientifique </w:t>
            </w:r>
            <w:r w:rsidRPr="00742F34">
              <w:rPr>
                <w:rFonts w:ascii="Arial Narrow" w:eastAsia="Times New Roman" w:hAnsi="Arial Narrow" w:cs="Arial"/>
                <w:b/>
                <w:i/>
              </w:rPr>
              <w:t xml:space="preserve">Science </w:t>
            </w:r>
            <w:proofErr w:type="spellStart"/>
            <w:r w:rsidR="007131F7" w:rsidRPr="00742F34">
              <w:rPr>
                <w:rFonts w:ascii="Arial Narrow" w:eastAsia="Times New Roman" w:hAnsi="Arial Narrow" w:cs="Arial"/>
                <w:b/>
                <w:i/>
              </w:rPr>
              <w:t>Translational</w:t>
            </w:r>
            <w:proofErr w:type="spellEnd"/>
            <w:r w:rsidR="007131F7" w:rsidRPr="00742F34">
              <w:rPr>
                <w:rFonts w:ascii="Arial Narrow" w:eastAsia="Times New Roman" w:hAnsi="Arial Narrow" w:cs="Arial"/>
                <w:b/>
                <w:i/>
              </w:rPr>
              <w:t xml:space="preserve"> </w:t>
            </w:r>
            <w:proofErr w:type="spellStart"/>
            <w:r w:rsidR="007131F7" w:rsidRPr="00742F34">
              <w:rPr>
                <w:rFonts w:ascii="Arial Narrow" w:eastAsia="Times New Roman" w:hAnsi="Arial Narrow" w:cs="Arial"/>
                <w:b/>
                <w:i/>
              </w:rPr>
              <w:t>Medicine</w:t>
            </w:r>
            <w:proofErr w:type="spellEnd"/>
            <w:r w:rsidR="007131F7" w:rsidRPr="00742F34">
              <w:rPr>
                <w:rFonts w:ascii="Arial Narrow" w:eastAsia="Times New Roman" w:hAnsi="Arial Narrow" w:cs="Arial"/>
                <w:b/>
                <w:i/>
              </w:rPr>
              <w:t xml:space="preserve"> 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>le 30</w:t>
            </w:r>
            <w:r w:rsidRPr="00742F34">
              <w:rPr>
                <w:rFonts w:ascii="Arial Narrow" w:eastAsia="Times New Roman" w:hAnsi="Arial Narrow" w:cs="Arial"/>
                <w:b/>
              </w:rPr>
              <w:t xml:space="preserve"> août 2017, représente une étape importante vers une meilleure connaissance du rôle </w:t>
            </w:r>
            <w:r w:rsidR="002B6769" w:rsidRPr="00B14682">
              <w:rPr>
                <w:rFonts w:ascii="Arial Narrow" w:eastAsia="Times New Roman" w:hAnsi="Arial Narrow" w:cs="Arial"/>
                <w:b/>
              </w:rPr>
              <w:t>joué par</w:t>
            </w:r>
            <w:r w:rsidRPr="00A54179">
              <w:rPr>
                <w:rFonts w:ascii="Arial Narrow" w:eastAsia="Times New Roman" w:hAnsi="Arial Narrow" w:cs="Arial"/>
                <w:b/>
              </w:rPr>
              <w:t xml:space="preserve"> l’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>immunité dans l’infection virale de la dengue</w:t>
            </w:r>
            <w:r w:rsidR="00975444">
              <w:rPr>
                <w:rFonts w:ascii="Arial Narrow" w:eastAsia="Times New Roman" w:hAnsi="Arial Narrow" w:cs="Arial"/>
                <w:b/>
              </w:rPr>
              <w:t>.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975444">
              <w:rPr>
                <w:rFonts w:ascii="Arial Narrow" w:eastAsia="Times New Roman" w:hAnsi="Arial Narrow" w:cs="Arial"/>
                <w:b/>
              </w:rPr>
              <w:t>Elle</w:t>
            </w:r>
            <w:r w:rsidR="007131F7" w:rsidRPr="00742F34">
              <w:rPr>
                <w:rFonts w:ascii="Arial Narrow" w:eastAsia="Times New Roman" w:hAnsi="Arial Narrow" w:cs="Arial"/>
                <w:b/>
              </w:rPr>
              <w:t xml:space="preserve"> devrait permettre de développer de nouvelles stratégies vaccinales contre cette maladie</w:t>
            </w:r>
            <w:r w:rsidRPr="00742F34">
              <w:rPr>
                <w:rFonts w:ascii="Arial Narrow" w:eastAsia="Times New Roman" w:hAnsi="Arial Narrow" w:cs="Arial"/>
                <w:b/>
              </w:rPr>
              <w:t>.</w:t>
            </w:r>
          </w:p>
        </w:tc>
      </w:tr>
    </w:tbl>
    <w:p w14:paraId="2C6DBD7F" w14:textId="613D3C05" w:rsidR="00970861" w:rsidRPr="00742F34" w:rsidRDefault="001F0020" w:rsidP="00944643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742F34">
        <w:rPr>
          <w:rFonts w:ascii="Arial Narrow" w:hAnsi="Arial Narrow" w:cs="Arial"/>
          <w:sz w:val="22"/>
          <w:szCs w:val="22"/>
        </w:rPr>
        <w:t>La dengue, aussi appelée « grippe tropicale</w:t>
      </w:r>
      <w:r w:rsidR="00944643" w:rsidRPr="00742F34">
        <w:rPr>
          <w:rFonts w:ascii="Arial Narrow" w:hAnsi="Arial Narrow" w:cs="Arial"/>
          <w:sz w:val="22"/>
          <w:szCs w:val="22"/>
        </w:rPr>
        <w:t> »</w:t>
      </w:r>
      <w:r w:rsidRPr="00742F34">
        <w:rPr>
          <w:rFonts w:ascii="Arial Narrow" w:hAnsi="Arial Narrow" w:cs="Arial"/>
          <w:sz w:val="22"/>
          <w:szCs w:val="22"/>
        </w:rPr>
        <w:t xml:space="preserve"> </w:t>
      </w:r>
      <w:r w:rsidR="00312194">
        <w:rPr>
          <w:rFonts w:ascii="Arial Narrow" w:hAnsi="Arial Narrow" w:cs="Arial"/>
          <w:sz w:val="22"/>
          <w:szCs w:val="22"/>
        </w:rPr>
        <w:t xml:space="preserve">continue à </w:t>
      </w:r>
      <w:r w:rsidRPr="00742F34">
        <w:rPr>
          <w:rFonts w:ascii="Arial Narrow" w:hAnsi="Arial Narrow" w:cs="Arial"/>
          <w:sz w:val="22"/>
          <w:szCs w:val="22"/>
        </w:rPr>
        <w:t>progresse</w:t>
      </w:r>
      <w:r w:rsidR="00312194">
        <w:rPr>
          <w:rFonts w:ascii="Arial Narrow" w:hAnsi="Arial Narrow" w:cs="Arial"/>
          <w:sz w:val="22"/>
          <w:szCs w:val="22"/>
        </w:rPr>
        <w:t>r</w:t>
      </w:r>
      <w:r w:rsidRPr="00742F34">
        <w:rPr>
          <w:rFonts w:ascii="Arial Narrow" w:hAnsi="Arial Narrow" w:cs="Arial"/>
          <w:sz w:val="22"/>
          <w:szCs w:val="22"/>
        </w:rPr>
        <w:t xml:space="preserve"> de manière très importante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 à travers le monde, ce qui </w:t>
      </w:r>
      <w:r w:rsidRPr="00742F34">
        <w:rPr>
          <w:rFonts w:ascii="Arial Narrow" w:hAnsi="Arial Narrow" w:cs="Arial"/>
          <w:sz w:val="22"/>
          <w:szCs w:val="22"/>
        </w:rPr>
        <w:t xml:space="preserve">inscrit 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aujourd’hui cette infection </w:t>
      </w:r>
      <w:r w:rsidR="008A3462" w:rsidRPr="00742F34">
        <w:rPr>
          <w:rFonts w:ascii="Arial Narrow" w:hAnsi="Arial Narrow" w:cs="Arial"/>
          <w:sz w:val="22"/>
          <w:szCs w:val="22"/>
        </w:rPr>
        <w:t>aux rangs des maladies ré-émergentes</w:t>
      </w:r>
      <w:r w:rsidRPr="00742F34">
        <w:rPr>
          <w:rFonts w:ascii="Arial Narrow" w:hAnsi="Arial Narrow" w:cs="Arial"/>
          <w:sz w:val="22"/>
          <w:szCs w:val="22"/>
        </w:rPr>
        <w:t>. L’OMS estime à 50</w:t>
      </w:r>
      <w:r w:rsidR="00312194">
        <w:rPr>
          <w:rFonts w:ascii="Arial Narrow" w:hAnsi="Arial Narrow" w:cs="Arial"/>
          <w:sz w:val="22"/>
          <w:szCs w:val="22"/>
        </w:rPr>
        <w:t xml:space="preserve"> à 100</w:t>
      </w:r>
      <w:r w:rsidRPr="00742F34">
        <w:rPr>
          <w:rFonts w:ascii="Arial Narrow" w:hAnsi="Arial Narrow" w:cs="Arial"/>
          <w:sz w:val="22"/>
          <w:szCs w:val="22"/>
        </w:rPr>
        <w:t xml:space="preserve"> millions le nombre de cas annuels, dont 500 000 cas de dengue </w:t>
      </w:r>
      <w:r w:rsidR="00F14B80" w:rsidRPr="00742F34">
        <w:rPr>
          <w:rFonts w:ascii="Arial Narrow" w:hAnsi="Arial Narrow" w:cs="Arial"/>
          <w:sz w:val="22"/>
          <w:szCs w:val="22"/>
        </w:rPr>
        <w:t xml:space="preserve">sévère </w:t>
      </w:r>
      <w:r w:rsidR="00374D3B" w:rsidRPr="00742F34">
        <w:rPr>
          <w:rFonts w:ascii="Arial Narrow" w:hAnsi="Arial Narrow" w:cs="Arial"/>
          <w:sz w:val="22"/>
          <w:szCs w:val="22"/>
        </w:rPr>
        <w:t xml:space="preserve">nécessitant une hospitalisation, </w:t>
      </w:r>
      <w:r w:rsidR="00970861" w:rsidRPr="00742F34">
        <w:rPr>
          <w:rFonts w:ascii="Arial Narrow" w:hAnsi="Arial Narrow" w:cs="Arial"/>
          <w:sz w:val="22"/>
          <w:szCs w:val="22"/>
        </w:rPr>
        <w:t>avec une issu</w:t>
      </w:r>
      <w:r w:rsidR="000B5B0B" w:rsidRPr="00742F34">
        <w:rPr>
          <w:rFonts w:ascii="Arial Narrow" w:hAnsi="Arial Narrow" w:cs="Arial"/>
          <w:sz w:val="22"/>
          <w:szCs w:val="22"/>
        </w:rPr>
        <w:t>e</w:t>
      </w:r>
      <w:r w:rsidR="00970861" w:rsidRPr="00742F34">
        <w:rPr>
          <w:rFonts w:ascii="Arial Narrow" w:hAnsi="Arial Narrow" w:cs="Arial"/>
          <w:sz w:val="22"/>
          <w:szCs w:val="22"/>
        </w:rPr>
        <w:t xml:space="preserve"> </w:t>
      </w:r>
      <w:r w:rsidR="008551E1" w:rsidRPr="00742F34">
        <w:rPr>
          <w:rFonts w:ascii="Arial Narrow" w:hAnsi="Arial Narrow" w:cs="Arial"/>
          <w:sz w:val="22"/>
          <w:szCs w:val="22"/>
        </w:rPr>
        <w:t>mortelle dans 2</w:t>
      </w:r>
      <w:r w:rsidR="00374D3B" w:rsidRPr="00742F34">
        <w:rPr>
          <w:rFonts w:ascii="Arial Narrow" w:hAnsi="Arial Narrow" w:cs="Arial"/>
          <w:sz w:val="22"/>
          <w:szCs w:val="22"/>
        </w:rPr>
        <w:t>,5% des cas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. Environ </w:t>
      </w:r>
      <w:r w:rsidR="00374D3B" w:rsidRPr="00742F34">
        <w:rPr>
          <w:rFonts w:ascii="Arial Narrow" w:hAnsi="Arial Narrow" w:cs="Arial"/>
          <w:sz w:val="22"/>
          <w:szCs w:val="22"/>
        </w:rPr>
        <w:t>50% de la population mondiale vit</w:t>
      </w:r>
      <w:r w:rsidRPr="00B14682">
        <w:rPr>
          <w:rFonts w:ascii="Arial Narrow" w:hAnsi="Arial Narrow" w:cs="Arial"/>
          <w:sz w:val="22"/>
          <w:szCs w:val="22"/>
        </w:rPr>
        <w:t xml:space="preserve"> dans des zones à risque</w:t>
      </w:r>
      <w:r w:rsidR="00374D3B" w:rsidRPr="00A54179">
        <w:rPr>
          <w:rFonts w:ascii="Arial Narrow" w:hAnsi="Arial Narrow" w:cs="Arial"/>
          <w:sz w:val="22"/>
          <w:szCs w:val="22"/>
        </w:rPr>
        <w:t xml:space="preserve"> d’infection</w:t>
      </w:r>
      <w:r w:rsidRPr="00742F34">
        <w:rPr>
          <w:rFonts w:ascii="Arial Narrow" w:hAnsi="Arial Narrow" w:cs="Arial"/>
          <w:sz w:val="22"/>
          <w:szCs w:val="22"/>
        </w:rPr>
        <w:t xml:space="preserve">. Initialement </w:t>
      </w:r>
      <w:r w:rsidRPr="00742F34">
        <w:rPr>
          <w:rFonts w:ascii="Arial Narrow" w:hAnsi="Arial Narrow" w:cs="Arial"/>
          <w:sz w:val="22"/>
          <w:szCs w:val="22"/>
        </w:rPr>
        <w:lastRenderedPageBreak/>
        <w:t>présente dans les zones tropicales et subtropicales du monde, la den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gue </w:t>
      </w:r>
      <w:r w:rsidR="00970861" w:rsidRPr="00742F34">
        <w:rPr>
          <w:rFonts w:ascii="Arial Narrow" w:hAnsi="Arial Narrow" w:cs="Arial"/>
          <w:sz w:val="22"/>
          <w:szCs w:val="22"/>
        </w:rPr>
        <w:t>touche désormais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 l’Europe</w:t>
      </w:r>
      <w:r w:rsidR="00970861" w:rsidRPr="00742F34">
        <w:rPr>
          <w:rFonts w:ascii="Arial Narrow" w:hAnsi="Arial Narrow" w:cs="Arial"/>
          <w:sz w:val="22"/>
          <w:szCs w:val="22"/>
        </w:rPr>
        <w:t xml:space="preserve">. Depuis l’année 2014, 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18 </w:t>
      </w:r>
      <w:r w:rsidRPr="00742F34">
        <w:rPr>
          <w:rFonts w:ascii="Arial Narrow" w:hAnsi="Arial Narrow" w:cs="Arial"/>
          <w:sz w:val="22"/>
          <w:szCs w:val="22"/>
        </w:rPr>
        <w:t>départements français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 </w:t>
      </w:r>
      <w:r w:rsidR="00970861" w:rsidRPr="00742F34">
        <w:rPr>
          <w:rFonts w:ascii="Arial Narrow" w:hAnsi="Arial Narrow" w:cs="Arial"/>
          <w:sz w:val="22"/>
          <w:szCs w:val="22"/>
        </w:rPr>
        <w:t>sont concernés</w:t>
      </w:r>
      <w:r w:rsidR="00944643" w:rsidRPr="00742F34">
        <w:rPr>
          <w:rFonts w:ascii="Arial Narrow" w:hAnsi="Arial Narrow" w:cs="Arial"/>
          <w:sz w:val="22"/>
          <w:szCs w:val="22"/>
        </w:rPr>
        <w:t xml:space="preserve">. </w:t>
      </w:r>
    </w:p>
    <w:p w14:paraId="1F2058CD" w14:textId="218B8C34" w:rsidR="00944643" w:rsidRPr="00742F34" w:rsidRDefault="00944643" w:rsidP="00944643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742F34">
        <w:rPr>
          <w:rFonts w:ascii="Arial Narrow" w:hAnsi="Arial Narrow" w:cs="Arial"/>
          <w:sz w:val="22"/>
          <w:szCs w:val="22"/>
        </w:rPr>
        <w:t xml:space="preserve">La dengue est une maladie virale transmise à l’homme par des moustiques du genre </w:t>
      </w:r>
      <w:proofErr w:type="spellStart"/>
      <w:r w:rsidRPr="00742F34">
        <w:rPr>
          <w:rFonts w:ascii="Arial Narrow" w:hAnsi="Arial Narrow"/>
          <w:i/>
          <w:iCs/>
          <w:sz w:val="22"/>
          <w:szCs w:val="22"/>
        </w:rPr>
        <w:t>Aedes</w:t>
      </w:r>
      <w:proofErr w:type="spellEnd"/>
      <w:r w:rsidRPr="00742F34">
        <w:rPr>
          <w:rFonts w:ascii="Arial Narrow" w:hAnsi="Arial Narrow"/>
          <w:i/>
          <w:iCs/>
          <w:sz w:val="22"/>
          <w:szCs w:val="22"/>
        </w:rPr>
        <w:t>.</w:t>
      </w:r>
      <w:r w:rsidR="00970861" w:rsidRPr="00742F34">
        <w:rPr>
          <w:rFonts w:ascii="Arial Narrow" w:hAnsi="Arial Narrow"/>
          <w:i/>
          <w:iCs/>
          <w:sz w:val="22"/>
          <w:szCs w:val="22"/>
        </w:rPr>
        <w:t xml:space="preserve"> </w:t>
      </w:r>
      <w:r w:rsidR="008551E1" w:rsidRPr="00742F34">
        <w:rPr>
          <w:rFonts w:ascii="Arial Narrow" w:hAnsi="Arial Narrow" w:cs="Arial"/>
          <w:sz w:val="22"/>
          <w:szCs w:val="22"/>
        </w:rPr>
        <w:t xml:space="preserve">Les souches du virus de la dengue se répartissent en quatre sérotypes distincts : DEN-1, </w:t>
      </w:r>
      <w:r w:rsidR="00F73928">
        <w:rPr>
          <w:rFonts w:ascii="Arial Narrow" w:hAnsi="Arial Narrow" w:cs="Arial"/>
          <w:sz w:val="22"/>
          <w:szCs w:val="22"/>
        </w:rPr>
        <w:br/>
      </w:r>
      <w:r w:rsidR="008551E1" w:rsidRPr="00742F34">
        <w:rPr>
          <w:rFonts w:ascii="Arial Narrow" w:hAnsi="Arial Narrow" w:cs="Arial"/>
          <w:sz w:val="22"/>
          <w:szCs w:val="22"/>
        </w:rPr>
        <w:t xml:space="preserve">DEN-2, DEN-3 et DEN-4. L’immunité acquise en réponse à l’infection par l’un des sérotypes confère une immunité protectrice contre le </w:t>
      </w:r>
      <w:proofErr w:type="spellStart"/>
      <w:r w:rsidR="008551E1" w:rsidRPr="00742F34">
        <w:rPr>
          <w:rFonts w:ascii="Arial Narrow" w:hAnsi="Arial Narrow" w:cs="Arial"/>
          <w:sz w:val="22"/>
          <w:szCs w:val="22"/>
        </w:rPr>
        <w:t>sérotype</w:t>
      </w:r>
      <w:proofErr w:type="spellEnd"/>
      <w:r w:rsidR="008551E1" w:rsidRPr="00742F34">
        <w:rPr>
          <w:rFonts w:ascii="Arial Narrow" w:hAnsi="Arial Narrow" w:cs="Arial"/>
          <w:sz w:val="22"/>
          <w:szCs w:val="22"/>
        </w:rPr>
        <w:t xml:space="preserve"> infectant mais pas contre les autres sérotypes. </w:t>
      </w:r>
      <w:r w:rsidR="00970861" w:rsidRPr="00742F34">
        <w:rPr>
          <w:rFonts w:ascii="Arial Narrow" w:hAnsi="Arial Narrow" w:cs="Arial"/>
          <w:sz w:val="22"/>
          <w:szCs w:val="22"/>
        </w:rPr>
        <w:t>U</w:t>
      </w:r>
      <w:r w:rsidR="008551E1" w:rsidRPr="00742F34">
        <w:rPr>
          <w:rFonts w:ascii="Arial Narrow" w:hAnsi="Arial Narrow" w:cs="Arial"/>
          <w:sz w:val="22"/>
          <w:szCs w:val="22"/>
        </w:rPr>
        <w:t xml:space="preserve">n individu est </w:t>
      </w:r>
      <w:r w:rsidR="00970861" w:rsidRPr="00742F34">
        <w:rPr>
          <w:rFonts w:ascii="Arial Narrow" w:hAnsi="Arial Narrow" w:cs="Arial"/>
          <w:sz w:val="22"/>
          <w:szCs w:val="22"/>
        </w:rPr>
        <w:t xml:space="preserve">donc </w:t>
      </w:r>
      <w:r w:rsidR="008551E1" w:rsidRPr="00742F34">
        <w:rPr>
          <w:rFonts w:ascii="Arial Narrow" w:hAnsi="Arial Narrow" w:cs="Arial"/>
          <w:sz w:val="22"/>
          <w:szCs w:val="22"/>
        </w:rPr>
        <w:t xml:space="preserve">susceptible d’être infecté par chacun des quatre sérotypes de la dengue. </w:t>
      </w:r>
      <w:r w:rsidR="00970861" w:rsidRPr="00742F34">
        <w:rPr>
          <w:rFonts w:ascii="Arial Narrow" w:hAnsi="Arial Narrow" w:cs="Arial"/>
          <w:sz w:val="22"/>
          <w:szCs w:val="22"/>
        </w:rPr>
        <w:t>De plus, d</w:t>
      </w:r>
      <w:r w:rsidR="008551E1" w:rsidRPr="00742F34">
        <w:rPr>
          <w:rFonts w:ascii="Arial Narrow" w:hAnsi="Arial Narrow" w:cs="Arial"/>
          <w:sz w:val="22"/>
          <w:szCs w:val="22"/>
        </w:rPr>
        <w:t xml:space="preserve">es infections ultérieures par d’autres sérotypes accroissent le risque de développer une dengue sévère, dite hémorragique. </w:t>
      </w:r>
    </w:p>
    <w:p w14:paraId="2B678BB6" w14:textId="2F5872F4" w:rsidR="0024772E" w:rsidRPr="00742F34" w:rsidRDefault="00525462" w:rsidP="0024772E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742F34">
        <w:rPr>
          <w:rFonts w:ascii="Arial Narrow" w:hAnsi="Arial Narrow" w:cs="Arial"/>
          <w:sz w:val="22"/>
          <w:szCs w:val="22"/>
        </w:rPr>
        <w:t xml:space="preserve">Il </w:t>
      </w:r>
      <w:r w:rsidR="0024772E" w:rsidRPr="00742F34">
        <w:rPr>
          <w:rFonts w:ascii="Arial Narrow" w:hAnsi="Arial Narrow" w:cs="Arial"/>
          <w:sz w:val="22"/>
          <w:szCs w:val="22"/>
        </w:rPr>
        <w:t xml:space="preserve">n‘existe </w:t>
      </w:r>
      <w:r w:rsidR="005E0DD5" w:rsidRPr="00742F34">
        <w:rPr>
          <w:rFonts w:ascii="Arial Narrow" w:hAnsi="Arial Narrow" w:cs="Arial"/>
          <w:sz w:val="22"/>
          <w:szCs w:val="22"/>
        </w:rPr>
        <w:t>pas</w:t>
      </w:r>
      <w:r w:rsidR="00B75FA9">
        <w:rPr>
          <w:rFonts w:ascii="Arial Narrow" w:hAnsi="Arial Narrow" w:cs="Arial"/>
          <w:sz w:val="22"/>
          <w:szCs w:val="22"/>
        </w:rPr>
        <w:t xml:space="preserve"> </w:t>
      </w:r>
      <w:r w:rsidR="00B75FA9" w:rsidRPr="00742F34">
        <w:rPr>
          <w:rFonts w:ascii="Arial Narrow" w:hAnsi="Arial Narrow" w:cs="Arial"/>
          <w:sz w:val="22"/>
          <w:szCs w:val="22"/>
        </w:rPr>
        <w:t>actuellement</w:t>
      </w:r>
      <w:r w:rsidR="005E0DD5" w:rsidRPr="00742F34">
        <w:rPr>
          <w:rFonts w:ascii="Arial Narrow" w:hAnsi="Arial Narrow" w:cs="Arial"/>
          <w:sz w:val="22"/>
          <w:szCs w:val="22"/>
        </w:rPr>
        <w:t xml:space="preserve"> </w:t>
      </w:r>
      <w:r w:rsidR="0024772E" w:rsidRPr="00742F34">
        <w:rPr>
          <w:rFonts w:ascii="Arial Narrow" w:hAnsi="Arial Narrow" w:cs="Arial"/>
          <w:sz w:val="22"/>
          <w:szCs w:val="22"/>
        </w:rPr>
        <w:t>de traitement spécifique contre l’infection du virus de la dengu</w:t>
      </w:r>
      <w:r w:rsidR="00832CDF" w:rsidRPr="00742F34">
        <w:rPr>
          <w:rFonts w:ascii="Arial Narrow" w:hAnsi="Arial Narrow" w:cs="Arial"/>
          <w:sz w:val="22"/>
          <w:szCs w:val="22"/>
        </w:rPr>
        <w:t>e</w:t>
      </w:r>
      <w:r w:rsidR="00A05C2E" w:rsidRPr="00742F34">
        <w:rPr>
          <w:rFonts w:ascii="Arial Narrow" w:hAnsi="Arial Narrow" w:cs="Arial"/>
          <w:sz w:val="22"/>
          <w:szCs w:val="22"/>
        </w:rPr>
        <w:t>. Le seul</w:t>
      </w:r>
      <w:r w:rsidR="00832CDF" w:rsidRPr="00742F34">
        <w:rPr>
          <w:rFonts w:ascii="Arial Narrow" w:hAnsi="Arial Narrow" w:cs="Arial"/>
          <w:sz w:val="22"/>
          <w:szCs w:val="22"/>
        </w:rPr>
        <w:t xml:space="preserve"> vaccin commercialisé</w:t>
      </w:r>
      <w:r w:rsidR="00A05C2E" w:rsidRPr="00742F34">
        <w:rPr>
          <w:rFonts w:ascii="Arial Narrow" w:hAnsi="Arial Narrow" w:cs="Arial"/>
          <w:sz w:val="22"/>
          <w:szCs w:val="22"/>
        </w:rPr>
        <w:t xml:space="preserve"> n’est que </w:t>
      </w:r>
      <w:r w:rsidR="00832CDF" w:rsidRPr="00742F34">
        <w:rPr>
          <w:rFonts w:ascii="Arial Narrow" w:hAnsi="Arial Narrow" w:cs="Arial"/>
          <w:sz w:val="22"/>
          <w:szCs w:val="22"/>
        </w:rPr>
        <w:t xml:space="preserve">partiellement </w:t>
      </w:r>
      <w:r w:rsidR="0024772E" w:rsidRPr="00742F34">
        <w:rPr>
          <w:rFonts w:ascii="Arial Narrow" w:hAnsi="Arial Narrow" w:cs="Arial"/>
          <w:sz w:val="22"/>
          <w:szCs w:val="22"/>
        </w:rPr>
        <w:t>efficace contre les infections par les 4 sérotypes du virus</w:t>
      </w:r>
      <w:r w:rsidR="00A05C2E" w:rsidRPr="00742F34">
        <w:rPr>
          <w:rFonts w:ascii="Arial Narrow" w:hAnsi="Arial Narrow" w:cs="Arial"/>
          <w:sz w:val="22"/>
          <w:szCs w:val="22"/>
        </w:rPr>
        <w:t xml:space="preserve"> même s’il réduit le risque de forme sévère de la maladie. Il n’est</w:t>
      </w:r>
      <w:r w:rsidR="00A1309C" w:rsidRPr="00742F34">
        <w:rPr>
          <w:rFonts w:ascii="Arial Narrow" w:hAnsi="Arial Narrow" w:cs="Arial"/>
          <w:sz w:val="22"/>
          <w:szCs w:val="22"/>
        </w:rPr>
        <w:t xml:space="preserve"> par ailleurs </w:t>
      </w:r>
      <w:r w:rsidR="00A05C2E" w:rsidRPr="00742F34">
        <w:rPr>
          <w:rFonts w:ascii="Arial Narrow" w:hAnsi="Arial Narrow" w:cs="Arial"/>
          <w:sz w:val="22"/>
          <w:szCs w:val="22"/>
        </w:rPr>
        <w:t>pas</w:t>
      </w:r>
      <w:r w:rsidR="00B63202" w:rsidRPr="00742F34">
        <w:rPr>
          <w:rFonts w:ascii="Arial Narrow" w:hAnsi="Arial Narrow" w:cs="Arial"/>
          <w:sz w:val="22"/>
          <w:szCs w:val="22"/>
        </w:rPr>
        <w:t xml:space="preserve"> administrable chez les enfants de moins de 9 ans</w:t>
      </w:r>
      <w:r w:rsidR="00A05C2E" w:rsidRPr="00742F34">
        <w:rPr>
          <w:rFonts w:ascii="Arial Narrow" w:hAnsi="Arial Narrow" w:cs="Arial"/>
          <w:sz w:val="22"/>
          <w:szCs w:val="22"/>
        </w:rPr>
        <w:t xml:space="preserve"> et son sché</w:t>
      </w:r>
      <w:r w:rsidR="0075315C" w:rsidRPr="00742F34">
        <w:rPr>
          <w:rFonts w:ascii="Arial Narrow" w:hAnsi="Arial Narrow" w:cs="Arial"/>
          <w:sz w:val="22"/>
          <w:szCs w:val="22"/>
        </w:rPr>
        <w:t>ma vaccinal en 3 doses est p</w:t>
      </w:r>
      <w:r w:rsidR="00A05C2E" w:rsidRPr="00742F34">
        <w:rPr>
          <w:rFonts w:ascii="Arial Narrow" w:hAnsi="Arial Narrow" w:cs="Arial"/>
          <w:sz w:val="22"/>
          <w:szCs w:val="22"/>
        </w:rPr>
        <w:t>eu adapté pour les voyageurs.</w:t>
      </w:r>
      <w:r w:rsidR="00487E88">
        <w:rPr>
          <w:rFonts w:ascii="Arial Narrow" w:hAnsi="Arial Narrow" w:cs="Arial"/>
          <w:sz w:val="22"/>
          <w:szCs w:val="22"/>
        </w:rPr>
        <w:t xml:space="preserve"> </w:t>
      </w:r>
    </w:p>
    <w:p w14:paraId="5AEC27B1" w14:textId="70EF59D3" w:rsidR="00374D3B" w:rsidRPr="00742F34" w:rsidRDefault="0024772E" w:rsidP="00944643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742F34">
        <w:rPr>
          <w:rFonts w:ascii="Arial Narrow" w:hAnsi="Arial Narrow" w:cs="Arial"/>
          <w:sz w:val="22"/>
          <w:szCs w:val="22"/>
        </w:rPr>
        <w:t>Malgré 50 années de recherche</w:t>
      </w:r>
      <w:r w:rsidR="00374D3B" w:rsidRPr="00742F34">
        <w:rPr>
          <w:rFonts w:ascii="Arial Narrow" w:hAnsi="Arial Narrow" w:cs="Arial"/>
          <w:sz w:val="22"/>
          <w:szCs w:val="22"/>
        </w:rPr>
        <w:t xml:space="preserve">, </w:t>
      </w:r>
      <w:r w:rsidR="004211F3" w:rsidRPr="00742F34">
        <w:rPr>
          <w:rFonts w:ascii="Arial Narrow" w:hAnsi="Arial Narrow" w:cs="Arial"/>
          <w:sz w:val="22"/>
          <w:szCs w:val="22"/>
        </w:rPr>
        <w:t xml:space="preserve">les mécanismes </w:t>
      </w:r>
      <w:r w:rsidR="00F14B80" w:rsidRPr="00742F34">
        <w:rPr>
          <w:rFonts w:ascii="Arial Narrow" w:hAnsi="Arial Narrow" w:cs="Arial"/>
          <w:sz w:val="22"/>
          <w:szCs w:val="22"/>
        </w:rPr>
        <w:t xml:space="preserve">physiopathologiques </w:t>
      </w:r>
      <w:r w:rsidR="00D80309" w:rsidRPr="00742F34">
        <w:rPr>
          <w:rFonts w:ascii="Arial Narrow" w:hAnsi="Arial Narrow" w:cs="Arial"/>
          <w:sz w:val="22"/>
          <w:szCs w:val="22"/>
        </w:rPr>
        <w:t xml:space="preserve">entrainant </w:t>
      </w:r>
      <w:r w:rsidR="00A1309C" w:rsidRPr="00742F34">
        <w:rPr>
          <w:rFonts w:ascii="Arial Narrow" w:hAnsi="Arial Narrow" w:cs="Arial"/>
          <w:sz w:val="22"/>
          <w:szCs w:val="22"/>
        </w:rPr>
        <w:t xml:space="preserve">une évolution vers </w:t>
      </w:r>
      <w:r w:rsidR="00742F34">
        <w:rPr>
          <w:rFonts w:ascii="Arial Narrow" w:hAnsi="Arial Narrow" w:cs="Arial"/>
          <w:sz w:val="22"/>
          <w:szCs w:val="22"/>
        </w:rPr>
        <w:t>une</w:t>
      </w:r>
      <w:r w:rsidR="00742F34" w:rsidRPr="00742F34">
        <w:rPr>
          <w:rFonts w:ascii="Arial Narrow" w:hAnsi="Arial Narrow" w:cs="Arial"/>
          <w:sz w:val="22"/>
          <w:szCs w:val="22"/>
        </w:rPr>
        <w:t xml:space="preserve"> </w:t>
      </w:r>
      <w:r w:rsidR="00D364BE" w:rsidRPr="00742F34">
        <w:rPr>
          <w:rFonts w:ascii="Arial Narrow" w:hAnsi="Arial Narrow" w:cs="Arial"/>
          <w:sz w:val="22"/>
          <w:szCs w:val="22"/>
        </w:rPr>
        <w:t>forme clinique sévère</w:t>
      </w:r>
      <w:r w:rsidRPr="00742F34">
        <w:rPr>
          <w:rFonts w:ascii="Arial Narrow" w:hAnsi="Arial Narrow" w:cs="Arial"/>
          <w:sz w:val="22"/>
          <w:szCs w:val="22"/>
        </w:rPr>
        <w:t xml:space="preserve"> </w:t>
      </w:r>
      <w:r w:rsidR="00A1309C" w:rsidRPr="00742F34">
        <w:rPr>
          <w:rFonts w:ascii="Arial Narrow" w:hAnsi="Arial Narrow" w:cs="Arial"/>
          <w:sz w:val="22"/>
          <w:szCs w:val="22"/>
        </w:rPr>
        <w:t xml:space="preserve">de la dengue </w:t>
      </w:r>
      <w:r w:rsidR="00D364BE" w:rsidRPr="00742F34">
        <w:rPr>
          <w:rFonts w:ascii="Arial Narrow" w:hAnsi="Arial Narrow" w:cs="Arial"/>
          <w:sz w:val="22"/>
          <w:szCs w:val="22"/>
        </w:rPr>
        <w:t xml:space="preserve">chez certains patients </w:t>
      </w:r>
      <w:r w:rsidR="00DE4BC5" w:rsidRPr="00742F34">
        <w:rPr>
          <w:rFonts w:ascii="Arial Narrow" w:hAnsi="Arial Narrow" w:cs="Arial"/>
          <w:sz w:val="22"/>
          <w:szCs w:val="22"/>
        </w:rPr>
        <w:t xml:space="preserve">ne sont pas </w:t>
      </w:r>
      <w:r w:rsidR="00D364BE" w:rsidRPr="00742F34">
        <w:rPr>
          <w:rFonts w:ascii="Arial Narrow" w:hAnsi="Arial Narrow" w:cs="Arial"/>
          <w:sz w:val="22"/>
          <w:szCs w:val="22"/>
        </w:rPr>
        <w:t xml:space="preserve">encore </w:t>
      </w:r>
      <w:r w:rsidR="001C3F4B" w:rsidRPr="00742F34">
        <w:rPr>
          <w:rFonts w:ascii="Arial Narrow" w:hAnsi="Arial Narrow" w:cs="Arial"/>
          <w:sz w:val="22"/>
          <w:szCs w:val="22"/>
        </w:rPr>
        <w:t>élucidés avec précision</w:t>
      </w:r>
      <w:r w:rsidRPr="00742F34">
        <w:rPr>
          <w:rFonts w:ascii="Arial Narrow" w:hAnsi="Arial Narrow" w:cs="Arial"/>
          <w:sz w:val="22"/>
          <w:szCs w:val="22"/>
        </w:rPr>
        <w:t>. Ces mécanismes</w:t>
      </w:r>
      <w:r w:rsidR="00DE4BC5" w:rsidRPr="00742F34">
        <w:rPr>
          <w:rFonts w:ascii="Arial Narrow" w:hAnsi="Arial Narrow" w:cs="Arial"/>
          <w:sz w:val="22"/>
          <w:szCs w:val="22"/>
        </w:rPr>
        <w:t xml:space="preserve"> </w:t>
      </w:r>
      <w:r w:rsidR="004211F3" w:rsidRPr="00742F34">
        <w:rPr>
          <w:rFonts w:ascii="Arial Narrow" w:hAnsi="Arial Narrow" w:cs="Arial"/>
          <w:sz w:val="22"/>
          <w:szCs w:val="22"/>
        </w:rPr>
        <w:t>sont complexes</w:t>
      </w:r>
      <w:r w:rsidR="00DE4BC5" w:rsidRPr="00742F34">
        <w:rPr>
          <w:rFonts w:ascii="Arial Narrow" w:hAnsi="Arial Narrow" w:cs="Arial"/>
          <w:sz w:val="22"/>
          <w:szCs w:val="22"/>
        </w:rPr>
        <w:t>,</w:t>
      </w:r>
      <w:r w:rsidR="001C3F4B" w:rsidRPr="00742F34">
        <w:rPr>
          <w:rFonts w:ascii="Arial Narrow" w:hAnsi="Arial Narrow" w:cs="Arial"/>
          <w:sz w:val="22"/>
          <w:szCs w:val="22"/>
        </w:rPr>
        <w:t xml:space="preserve"> impliqu</w:t>
      </w:r>
      <w:r w:rsidR="00F14B80" w:rsidRPr="00742F34">
        <w:rPr>
          <w:rFonts w:ascii="Arial Narrow" w:hAnsi="Arial Narrow" w:cs="Arial"/>
          <w:sz w:val="22"/>
          <w:szCs w:val="22"/>
        </w:rPr>
        <w:t>a</w:t>
      </w:r>
      <w:r w:rsidR="00DE4BC5" w:rsidRPr="00742F34">
        <w:rPr>
          <w:rFonts w:ascii="Arial Narrow" w:hAnsi="Arial Narrow" w:cs="Arial"/>
          <w:sz w:val="22"/>
          <w:szCs w:val="22"/>
        </w:rPr>
        <w:t>nt</w:t>
      </w:r>
      <w:r w:rsidR="00F14B80" w:rsidRPr="00742F34">
        <w:rPr>
          <w:rFonts w:ascii="Arial Narrow" w:hAnsi="Arial Narrow" w:cs="Arial"/>
          <w:sz w:val="22"/>
          <w:szCs w:val="22"/>
        </w:rPr>
        <w:t xml:space="preserve"> à la fois</w:t>
      </w:r>
      <w:r w:rsidR="004211F3" w:rsidRPr="00742F34">
        <w:rPr>
          <w:rFonts w:ascii="Arial Narrow" w:hAnsi="Arial Narrow" w:cs="Arial"/>
          <w:sz w:val="22"/>
          <w:szCs w:val="22"/>
        </w:rPr>
        <w:t xml:space="preserve"> des fac</w:t>
      </w:r>
      <w:r w:rsidR="001C3F4B" w:rsidRPr="00742F34">
        <w:rPr>
          <w:rFonts w:ascii="Arial Narrow" w:hAnsi="Arial Narrow" w:cs="Arial"/>
          <w:sz w:val="22"/>
          <w:szCs w:val="22"/>
        </w:rPr>
        <w:t xml:space="preserve">teurs immunologiques, </w:t>
      </w:r>
      <w:r w:rsidR="004211F3" w:rsidRPr="00742F34">
        <w:rPr>
          <w:rFonts w:ascii="Arial Narrow" w:hAnsi="Arial Narrow" w:cs="Arial"/>
          <w:sz w:val="22"/>
          <w:szCs w:val="22"/>
        </w:rPr>
        <w:t>génétiques</w:t>
      </w:r>
      <w:r w:rsidR="001C3F4B" w:rsidRPr="00742F34">
        <w:rPr>
          <w:rFonts w:ascii="Arial Narrow" w:hAnsi="Arial Narrow" w:cs="Arial"/>
          <w:sz w:val="22"/>
          <w:szCs w:val="22"/>
        </w:rPr>
        <w:t xml:space="preserve"> et </w:t>
      </w:r>
      <w:r w:rsidR="00312194">
        <w:rPr>
          <w:rFonts w:ascii="Arial Narrow" w:hAnsi="Arial Narrow" w:cs="Arial"/>
          <w:sz w:val="22"/>
          <w:szCs w:val="22"/>
        </w:rPr>
        <w:t>viraux</w:t>
      </w:r>
      <w:r w:rsidR="004211F3" w:rsidRPr="00742F34">
        <w:rPr>
          <w:rFonts w:ascii="Arial Narrow" w:hAnsi="Arial Narrow" w:cs="Arial"/>
          <w:sz w:val="22"/>
          <w:szCs w:val="22"/>
        </w:rPr>
        <w:t>.</w:t>
      </w:r>
      <w:r w:rsidR="00267195" w:rsidRPr="00742F34">
        <w:rPr>
          <w:rFonts w:ascii="Arial Narrow" w:hAnsi="Arial Narrow" w:cs="Arial"/>
          <w:sz w:val="22"/>
          <w:szCs w:val="22"/>
        </w:rPr>
        <w:t xml:space="preserve"> Le </w:t>
      </w:r>
      <w:r w:rsidR="001D4DFB" w:rsidRPr="00742F34">
        <w:rPr>
          <w:rFonts w:ascii="Arial Narrow" w:hAnsi="Arial Narrow" w:cs="Arial"/>
          <w:sz w:val="22"/>
          <w:szCs w:val="22"/>
        </w:rPr>
        <w:t>risque accru de</w:t>
      </w:r>
      <w:r w:rsidR="00F73928">
        <w:rPr>
          <w:rFonts w:ascii="Arial Narrow" w:hAnsi="Arial Narrow" w:cs="Arial"/>
          <w:sz w:val="22"/>
          <w:szCs w:val="22"/>
        </w:rPr>
        <w:t xml:space="preserve"> développer des symptô</w:t>
      </w:r>
      <w:r w:rsidRPr="00742F34">
        <w:rPr>
          <w:rFonts w:ascii="Arial Narrow" w:hAnsi="Arial Narrow" w:cs="Arial"/>
          <w:sz w:val="22"/>
          <w:szCs w:val="22"/>
        </w:rPr>
        <w:t xml:space="preserve">mes </w:t>
      </w:r>
      <w:r w:rsidR="00267195" w:rsidRPr="00742F34">
        <w:rPr>
          <w:rFonts w:ascii="Arial Narrow" w:hAnsi="Arial Narrow" w:cs="Arial"/>
          <w:sz w:val="22"/>
          <w:szCs w:val="22"/>
        </w:rPr>
        <w:t>sévère</w:t>
      </w:r>
      <w:r w:rsidRPr="00742F34">
        <w:rPr>
          <w:rFonts w:ascii="Arial Narrow" w:hAnsi="Arial Narrow" w:cs="Arial"/>
          <w:sz w:val="22"/>
          <w:szCs w:val="22"/>
        </w:rPr>
        <w:t>s</w:t>
      </w:r>
      <w:r w:rsidR="00267195" w:rsidRPr="00742F34">
        <w:rPr>
          <w:rFonts w:ascii="Arial Narrow" w:hAnsi="Arial Narrow" w:cs="Arial"/>
          <w:sz w:val="22"/>
          <w:szCs w:val="22"/>
        </w:rPr>
        <w:t xml:space="preserve"> </w:t>
      </w:r>
      <w:r w:rsidR="001D4DFB" w:rsidRPr="00742F34">
        <w:rPr>
          <w:rFonts w:ascii="Arial Narrow" w:hAnsi="Arial Narrow" w:cs="Arial"/>
          <w:sz w:val="22"/>
          <w:szCs w:val="22"/>
        </w:rPr>
        <w:t>lors d’u</w:t>
      </w:r>
      <w:r w:rsidR="00267195" w:rsidRPr="00742F34">
        <w:rPr>
          <w:rFonts w:ascii="Arial Narrow" w:hAnsi="Arial Narrow" w:cs="Arial"/>
          <w:sz w:val="22"/>
          <w:szCs w:val="22"/>
        </w:rPr>
        <w:t xml:space="preserve">ne infection secondaire </w:t>
      </w:r>
      <w:r w:rsidR="00A05C2E" w:rsidRPr="00742F34">
        <w:rPr>
          <w:rFonts w:ascii="Arial Narrow" w:hAnsi="Arial Narrow" w:cs="Arial"/>
          <w:sz w:val="22"/>
          <w:szCs w:val="22"/>
        </w:rPr>
        <w:t>a été associé à la pré</w:t>
      </w:r>
      <w:r w:rsidR="000B5B0B" w:rsidRPr="00742F34">
        <w:rPr>
          <w:rFonts w:ascii="Arial Narrow" w:hAnsi="Arial Narrow" w:cs="Arial"/>
          <w:sz w:val="22"/>
          <w:szCs w:val="22"/>
        </w:rPr>
        <w:t>sence d’anticorps non neutralisants, qui augmenteraient l’infection au lieu de la bloquer</w:t>
      </w:r>
      <w:r w:rsidR="00267195" w:rsidRPr="00742F34">
        <w:rPr>
          <w:rFonts w:ascii="Arial Narrow" w:hAnsi="Arial Narrow" w:cs="Arial"/>
          <w:sz w:val="22"/>
          <w:szCs w:val="22"/>
        </w:rPr>
        <w:t xml:space="preserve">. </w:t>
      </w:r>
    </w:p>
    <w:p w14:paraId="6C1FB0D5" w14:textId="048A1118" w:rsidR="00A1309C" w:rsidRDefault="00A1309C" w:rsidP="00A1309C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742F34">
        <w:rPr>
          <w:rFonts w:ascii="Arial Narrow" w:hAnsi="Arial Narrow" w:cs="Arial"/>
          <w:sz w:val="22"/>
          <w:szCs w:val="22"/>
        </w:rPr>
        <w:t xml:space="preserve">Certains </w:t>
      </w:r>
      <w:r w:rsidR="00BD0298" w:rsidRPr="00742F34">
        <w:rPr>
          <w:rFonts w:ascii="Arial Narrow" w:hAnsi="Arial Narrow" w:cs="Arial"/>
          <w:sz w:val="22"/>
          <w:szCs w:val="22"/>
        </w:rPr>
        <w:t>in</w:t>
      </w:r>
      <w:r w:rsidR="00742F34" w:rsidRPr="00742F34">
        <w:rPr>
          <w:rFonts w:ascii="Arial Narrow" w:hAnsi="Arial Narrow" w:cs="Arial"/>
          <w:sz w:val="22"/>
          <w:szCs w:val="22"/>
        </w:rPr>
        <w:t>d</w:t>
      </w:r>
      <w:r w:rsidR="00BD0298" w:rsidRPr="00742F34">
        <w:rPr>
          <w:rFonts w:ascii="Arial Narrow" w:hAnsi="Arial Narrow" w:cs="Arial"/>
          <w:sz w:val="22"/>
          <w:szCs w:val="22"/>
        </w:rPr>
        <w:t>ividus</w:t>
      </w:r>
      <w:r w:rsidRPr="00742F34">
        <w:rPr>
          <w:rFonts w:ascii="Arial Narrow" w:hAnsi="Arial Narrow" w:cs="Arial"/>
          <w:sz w:val="22"/>
          <w:szCs w:val="22"/>
        </w:rPr>
        <w:t xml:space="preserve"> infectés sont asymptomatiques, et ne présentent aucun symptôme, ce qui les rend intéressants à étudier, mais il est très difficile de les identifier pour les inclure dans des études exploratoires.</w:t>
      </w:r>
    </w:p>
    <w:p w14:paraId="6D800A59" w14:textId="5EF3AE2E" w:rsidR="00C5540F" w:rsidRPr="00742F34" w:rsidRDefault="00DE4BC5" w:rsidP="00F14B80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B14682">
        <w:rPr>
          <w:rFonts w:ascii="Arial Narrow" w:hAnsi="Arial Narrow" w:cs="Arial"/>
          <w:sz w:val="22"/>
          <w:szCs w:val="22"/>
        </w:rPr>
        <w:t xml:space="preserve">Afin d’identifier les mécanismes </w:t>
      </w:r>
      <w:r w:rsidR="008F503A" w:rsidRPr="00B14682">
        <w:rPr>
          <w:rFonts w:ascii="Arial Narrow" w:hAnsi="Arial Narrow" w:cs="Arial"/>
          <w:sz w:val="22"/>
          <w:szCs w:val="22"/>
        </w:rPr>
        <w:t xml:space="preserve">internes </w:t>
      </w:r>
      <w:r w:rsidRPr="00B14682">
        <w:rPr>
          <w:rFonts w:ascii="Arial Narrow" w:hAnsi="Arial Narrow" w:cs="Arial"/>
          <w:sz w:val="22"/>
          <w:szCs w:val="22"/>
        </w:rPr>
        <w:t>de contrôle de l’</w:t>
      </w:r>
      <w:r w:rsidR="008F503A" w:rsidRPr="00B14682">
        <w:rPr>
          <w:rFonts w:ascii="Arial Narrow" w:hAnsi="Arial Narrow" w:cs="Arial"/>
          <w:sz w:val="22"/>
          <w:szCs w:val="22"/>
        </w:rPr>
        <w:t>infection par le vi</w:t>
      </w:r>
      <w:r w:rsidRPr="00B14682">
        <w:rPr>
          <w:rFonts w:ascii="Arial Narrow" w:hAnsi="Arial Narrow" w:cs="Arial"/>
          <w:sz w:val="22"/>
          <w:szCs w:val="22"/>
        </w:rPr>
        <w:t>rus de la dengue</w:t>
      </w:r>
      <w:r w:rsidR="008F503A" w:rsidRPr="00B14682">
        <w:rPr>
          <w:rFonts w:ascii="Arial Narrow" w:hAnsi="Arial Narrow" w:cs="Arial"/>
          <w:sz w:val="22"/>
          <w:szCs w:val="22"/>
        </w:rPr>
        <w:t xml:space="preserve"> chez les patients </w:t>
      </w:r>
      <w:r w:rsidR="00A1309C" w:rsidRPr="00B14682">
        <w:rPr>
          <w:rFonts w:ascii="Arial Narrow" w:hAnsi="Arial Narrow" w:cs="Arial"/>
          <w:sz w:val="22"/>
          <w:szCs w:val="22"/>
        </w:rPr>
        <w:t>asymptomatiques</w:t>
      </w:r>
      <w:r w:rsidR="008F503A" w:rsidRPr="00B14682">
        <w:rPr>
          <w:rFonts w:ascii="Arial Narrow" w:hAnsi="Arial Narrow" w:cs="Arial"/>
          <w:sz w:val="22"/>
          <w:szCs w:val="22"/>
        </w:rPr>
        <w:t xml:space="preserve">, </w:t>
      </w:r>
      <w:r w:rsidR="000F74CE" w:rsidRPr="00B14682">
        <w:rPr>
          <w:rFonts w:ascii="Arial Narrow" w:hAnsi="Arial Narrow" w:cs="Arial"/>
          <w:sz w:val="22"/>
          <w:szCs w:val="22"/>
        </w:rPr>
        <w:t>d</w:t>
      </w:r>
      <w:r w:rsidR="00886362" w:rsidRPr="00B14682">
        <w:rPr>
          <w:rFonts w:ascii="Arial Narrow" w:hAnsi="Arial Narrow" w:cs="Arial"/>
          <w:sz w:val="22"/>
          <w:szCs w:val="22"/>
        </w:rPr>
        <w:t>es chercheurs</w:t>
      </w:r>
      <w:r w:rsidR="006F5CBF" w:rsidRPr="00B14682">
        <w:rPr>
          <w:rFonts w:ascii="Arial Narrow" w:hAnsi="Arial Narrow" w:cs="Arial"/>
          <w:sz w:val="22"/>
          <w:szCs w:val="22"/>
        </w:rPr>
        <w:t xml:space="preserve"> de l’Institut</w:t>
      </w:r>
      <w:r w:rsidR="000F74CE" w:rsidRPr="00B14682">
        <w:rPr>
          <w:rFonts w:ascii="Arial Narrow" w:hAnsi="Arial Narrow" w:cs="Arial"/>
          <w:sz w:val="22"/>
          <w:szCs w:val="22"/>
        </w:rPr>
        <w:t xml:space="preserve"> Pasteur à Paris, de l’Institut Pasteur du Cambodge, du CNRS et d</w:t>
      </w:r>
      <w:r w:rsidR="000F74CE" w:rsidRPr="00742F34">
        <w:rPr>
          <w:rFonts w:ascii="Arial Narrow" w:hAnsi="Arial Narrow" w:cs="Arial"/>
          <w:sz w:val="22"/>
          <w:szCs w:val="22"/>
        </w:rPr>
        <w:t>’</w:t>
      </w:r>
      <w:proofErr w:type="spellStart"/>
      <w:r w:rsidR="00742F34">
        <w:rPr>
          <w:rFonts w:ascii="Arial Narrow" w:hAnsi="Arial Narrow" w:cs="Arial"/>
          <w:sz w:val="22"/>
          <w:szCs w:val="22"/>
        </w:rPr>
        <w:t>I</w:t>
      </w:r>
      <w:r w:rsidR="00975444">
        <w:rPr>
          <w:rFonts w:ascii="Arial Narrow" w:hAnsi="Arial Narrow" w:cs="Arial"/>
          <w:sz w:val="22"/>
          <w:szCs w:val="22"/>
        </w:rPr>
        <w:t>nria</w:t>
      </w:r>
      <w:proofErr w:type="spellEnd"/>
      <w:r w:rsidR="00886362" w:rsidRPr="00742F34">
        <w:rPr>
          <w:rFonts w:ascii="Arial Narrow" w:hAnsi="Arial Narrow" w:cs="Arial"/>
          <w:sz w:val="22"/>
          <w:szCs w:val="22"/>
        </w:rPr>
        <w:t xml:space="preserve"> </w:t>
      </w:r>
      <w:r w:rsidR="008F503A" w:rsidRPr="00742F34">
        <w:rPr>
          <w:rFonts w:ascii="Arial Narrow" w:hAnsi="Arial Narrow" w:cs="Arial"/>
          <w:sz w:val="22"/>
          <w:szCs w:val="22"/>
        </w:rPr>
        <w:t>ont compar</w:t>
      </w:r>
      <w:r w:rsidR="00886362" w:rsidRPr="00742F34">
        <w:rPr>
          <w:rFonts w:ascii="Arial Narrow" w:hAnsi="Arial Narrow" w:cs="Arial"/>
          <w:sz w:val="22"/>
          <w:szCs w:val="22"/>
        </w:rPr>
        <w:t>é</w:t>
      </w:r>
      <w:r w:rsidR="008F503A" w:rsidRPr="00742F34">
        <w:rPr>
          <w:rFonts w:ascii="Arial Narrow" w:hAnsi="Arial Narrow" w:cs="Arial"/>
          <w:sz w:val="22"/>
          <w:szCs w:val="22"/>
        </w:rPr>
        <w:t xml:space="preserve"> </w:t>
      </w:r>
      <w:r w:rsidR="000D64AA" w:rsidRPr="00742F34">
        <w:rPr>
          <w:rFonts w:ascii="Arial Narrow" w:hAnsi="Arial Narrow" w:cs="Arial"/>
          <w:sz w:val="22"/>
          <w:szCs w:val="22"/>
        </w:rPr>
        <w:t>la composition du</w:t>
      </w:r>
      <w:r w:rsidR="00484146" w:rsidRPr="00742F34">
        <w:rPr>
          <w:rFonts w:ascii="Arial Narrow" w:hAnsi="Arial Narrow" w:cs="Arial"/>
          <w:sz w:val="22"/>
          <w:szCs w:val="22"/>
        </w:rPr>
        <w:t xml:space="preserve"> sérum plasmatique</w:t>
      </w:r>
      <w:r w:rsidR="00173F1C" w:rsidRPr="00742F34">
        <w:rPr>
          <w:rFonts w:ascii="Arial Narrow" w:hAnsi="Arial Narrow" w:cs="Arial"/>
          <w:sz w:val="22"/>
          <w:szCs w:val="22"/>
        </w:rPr>
        <w:t xml:space="preserve"> et le </w:t>
      </w:r>
      <w:r w:rsidR="000D64AA" w:rsidRPr="00742F34">
        <w:rPr>
          <w:rFonts w:ascii="Arial Narrow" w:hAnsi="Arial Narrow" w:cs="Arial"/>
          <w:sz w:val="22"/>
          <w:szCs w:val="22"/>
        </w:rPr>
        <w:t>profil</w:t>
      </w:r>
      <w:r w:rsidR="005B1BE6" w:rsidRPr="00742F34">
        <w:rPr>
          <w:rFonts w:ascii="Arial Narrow" w:hAnsi="Arial Narrow" w:cs="Arial"/>
          <w:sz w:val="22"/>
          <w:szCs w:val="22"/>
        </w:rPr>
        <w:t xml:space="preserve"> </w:t>
      </w:r>
      <w:r w:rsidR="00742F34">
        <w:rPr>
          <w:rFonts w:ascii="Arial Narrow" w:hAnsi="Arial Narrow" w:cs="Arial"/>
          <w:sz w:val="22"/>
          <w:szCs w:val="22"/>
        </w:rPr>
        <w:t>d’expression génique</w:t>
      </w:r>
      <w:r w:rsidR="00173F1C" w:rsidRPr="00742F34">
        <w:rPr>
          <w:rFonts w:ascii="Arial Narrow" w:hAnsi="Arial Narrow" w:cs="Arial"/>
          <w:sz w:val="22"/>
          <w:szCs w:val="22"/>
        </w:rPr>
        <w:t xml:space="preserve"> chez des </w:t>
      </w:r>
      <w:r w:rsidR="00EF642D" w:rsidRPr="00742F34">
        <w:rPr>
          <w:rFonts w:ascii="Arial Narrow" w:hAnsi="Arial Narrow" w:cs="Arial"/>
          <w:sz w:val="22"/>
          <w:szCs w:val="22"/>
        </w:rPr>
        <w:t>e</w:t>
      </w:r>
      <w:r w:rsidR="00B37180" w:rsidRPr="00742F34">
        <w:rPr>
          <w:rFonts w:ascii="Arial Narrow" w:hAnsi="Arial Narrow" w:cs="Arial"/>
          <w:sz w:val="22"/>
          <w:szCs w:val="22"/>
        </w:rPr>
        <w:t>nfants c</w:t>
      </w:r>
      <w:r w:rsidR="008F503A" w:rsidRPr="00742F34">
        <w:rPr>
          <w:rFonts w:ascii="Arial Narrow" w:hAnsi="Arial Narrow" w:cs="Arial"/>
          <w:sz w:val="22"/>
          <w:szCs w:val="22"/>
        </w:rPr>
        <w:t>ambodgiens infectés par le</w:t>
      </w:r>
      <w:r w:rsidR="00C5540F" w:rsidRPr="00742F34">
        <w:rPr>
          <w:rFonts w:ascii="Arial Narrow" w:hAnsi="Arial Narrow" w:cs="Arial"/>
          <w:sz w:val="22"/>
          <w:szCs w:val="22"/>
        </w:rPr>
        <w:t xml:space="preserve"> virus de la dengue, </w:t>
      </w:r>
      <w:r w:rsidR="005B1BE6" w:rsidRPr="00742F34">
        <w:rPr>
          <w:rFonts w:ascii="Arial Narrow" w:hAnsi="Arial Narrow" w:cs="Arial"/>
          <w:sz w:val="22"/>
          <w:szCs w:val="22"/>
        </w:rPr>
        <w:t xml:space="preserve">mais </w:t>
      </w:r>
      <w:r w:rsidR="00173F1C" w:rsidRPr="00742F34">
        <w:rPr>
          <w:rFonts w:ascii="Arial Narrow" w:hAnsi="Arial Narrow" w:cs="Arial"/>
          <w:sz w:val="22"/>
          <w:szCs w:val="22"/>
        </w:rPr>
        <w:t>asymptomatiques</w:t>
      </w:r>
      <w:r w:rsidR="00484146" w:rsidRPr="00742F34">
        <w:rPr>
          <w:rFonts w:ascii="Arial Narrow" w:hAnsi="Arial Narrow" w:cs="Arial"/>
          <w:sz w:val="22"/>
          <w:szCs w:val="22"/>
        </w:rPr>
        <w:t>,</w:t>
      </w:r>
      <w:r w:rsidR="00173F1C" w:rsidRPr="00742F34">
        <w:rPr>
          <w:rFonts w:ascii="Arial Narrow" w:hAnsi="Arial Narrow" w:cs="Arial"/>
          <w:sz w:val="22"/>
          <w:szCs w:val="22"/>
        </w:rPr>
        <w:t xml:space="preserve"> avec</w:t>
      </w:r>
      <w:r w:rsidR="008F503A" w:rsidRPr="00742F34">
        <w:rPr>
          <w:rFonts w:ascii="Arial Narrow" w:hAnsi="Arial Narrow" w:cs="Arial"/>
          <w:sz w:val="22"/>
          <w:szCs w:val="22"/>
        </w:rPr>
        <w:t xml:space="preserve"> ceux de patients </w:t>
      </w:r>
      <w:r w:rsidR="00C5540F" w:rsidRPr="00742F34">
        <w:rPr>
          <w:rFonts w:ascii="Arial Narrow" w:hAnsi="Arial Narrow" w:cs="Arial"/>
          <w:sz w:val="22"/>
          <w:szCs w:val="22"/>
        </w:rPr>
        <w:t>pré</w:t>
      </w:r>
      <w:r w:rsidR="00120186" w:rsidRPr="00742F34">
        <w:rPr>
          <w:rFonts w:ascii="Arial Narrow" w:hAnsi="Arial Narrow" w:cs="Arial"/>
          <w:sz w:val="22"/>
          <w:szCs w:val="22"/>
        </w:rPr>
        <w:t>sent</w:t>
      </w:r>
      <w:r w:rsidR="008F503A" w:rsidRPr="00742F34">
        <w:rPr>
          <w:rFonts w:ascii="Arial Narrow" w:hAnsi="Arial Narrow" w:cs="Arial"/>
          <w:sz w:val="22"/>
          <w:szCs w:val="22"/>
        </w:rPr>
        <w:t>a</w:t>
      </w:r>
      <w:r w:rsidR="005B1BE6" w:rsidRPr="00742F34">
        <w:rPr>
          <w:rFonts w:ascii="Arial Narrow" w:hAnsi="Arial Narrow" w:cs="Arial"/>
          <w:sz w:val="22"/>
          <w:szCs w:val="22"/>
        </w:rPr>
        <w:t>n</w:t>
      </w:r>
      <w:r w:rsidR="008F503A" w:rsidRPr="00742F34">
        <w:rPr>
          <w:rFonts w:ascii="Arial Narrow" w:hAnsi="Arial Narrow" w:cs="Arial"/>
          <w:sz w:val="22"/>
          <w:szCs w:val="22"/>
        </w:rPr>
        <w:t>t des signes cliniques.</w:t>
      </w:r>
      <w:r w:rsidR="00C5540F" w:rsidRPr="00742F34">
        <w:rPr>
          <w:rFonts w:ascii="Arial Narrow" w:hAnsi="Arial Narrow" w:cs="Arial"/>
          <w:sz w:val="22"/>
          <w:szCs w:val="22"/>
        </w:rPr>
        <w:t xml:space="preserve"> </w:t>
      </w:r>
    </w:p>
    <w:p w14:paraId="45A2EC9F" w14:textId="674F772E" w:rsidR="00B14682" w:rsidRDefault="00CF32A1" w:rsidP="00F14B80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 manière surprenante, leur</w:t>
      </w:r>
      <w:r w:rsidR="00120186" w:rsidRPr="00820A3D">
        <w:rPr>
          <w:rFonts w:ascii="Arial Narrow" w:hAnsi="Arial Narrow" w:cs="Arial"/>
          <w:sz w:val="22"/>
          <w:szCs w:val="22"/>
        </w:rPr>
        <w:t>s travaux révèlent que les pa</w:t>
      </w:r>
      <w:r w:rsidR="00C5540F" w:rsidRPr="00820A3D">
        <w:rPr>
          <w:rFonts w:ascii="Arial Narrow" w:hAnsi="Arial Narrow" w:cs="Arial"/>
          <w:sz w:val="22"/>
          <w:szCs w:val="22"/>
        </w:rPr>
        <w:t>tients sans signes cliniques ont une réponse immunitaire contrô</w:t>
      </w:r>
      <w:r w:rsidR="00120186" w:rsidRPr="00742F34">
        <w:rPr>
          <w:rFonts w:ascii="Arial Narrow" w:hAnsi="Arial Narrow" w:cs="Arial"/>
          <w:sz w:val="22"/>
          <w:szCs w:val="22"/>
        </w:rPr>
        <w:t xml:space="preserve">lée, </w:t>
      </w:r>
      <w:r w:rsidR="00C5540F" w:rsidRPr="00B14682">
        <w:rPr>
          <w:rFonts w:ascii="Arial Narrow" w:hAnsi="Arial Narrow" w:cs="Arial"/>
          <w:sz w:val="22"/>
          <w:szCs w:val="22"/>
        </w:rPr>
        <w:t>dans laquelle la pré</w:t>
      </w:r>
      <w:r w:rsidR="00B63202" w:rsidRPr="00B14682">
        <w:rPr>
          <w:rFonts w:ascii="Arial Narrow" w:hAnsi="Arial Narrow" w:cs="Arial"/>
          <w:sz w:val="22"/>
          <w:szCs w:val="22"/>
        </w:rPr>
        <w:t>sentation des antigènes est acc</w:t>
      </w:r>
      <w:r w:rsidR="00F73928">
        <w:rPr>
          <w:rFonts w:ascii="Arial Narrow" w:hAnsi="Arial Narrow" w:cs="Arial"/>
          <w:sz w:val="22"/>
          <w:szCs w:val="22"/>
        </w:rPr>
        <w:t>r</w:t>
      </w:r>
      <w:r w:rsidR="00B63202" w:rsidRPr="00B14682">
        <w:rPr>
          <w:rFonts w:ascii="Arial Narrow" w:hAnsi="Arial Narrow" w:cs="Arial"/>
          <w:sz w:val="22"/>
          <w:szCs w:val="22"/>
        </w:rPr>
        <w:t>ue, mais associée à une activation</w:t>
      </w:r>
      <w:r w:rsidR="00312194">
        <w:rPr>
          <w:rFonts w:ascii="Arial Narrow" w:hAnsi="Arial Narrow" w:cs="Arial"/>
          <w:sz w:val="22"/>
          <w:szCs w:val="22"/>
        </w:rPr>
        <w:t xml:space="preserve"> mesurée</w:t>
      </w:r>
      <w:r w:rsidR="00C5540F" w:rsidRPr="00B14682">
        <w:rPr>
          <w:rFonts w:ascii="Arial Narrow" w:hAnsi="Arial Narrow" w:cs="Arial"/>
          <w:sz w:val="22"/>
          <w:szCs w:val="22"/>
        </w:rPr>
        <w:t xml:space="preserve"> des lymphocytes T</w:t>
      </w:r>
      <w:r w:rsidR="00B63202" w:rsidRPr="00B14682">
        <w:rPr>
          <w:rFonts w:ascii="Arial Narrow" w:hAnsi="Arial Narrow" w:cs="Arial"/>
          <w:sz w:val="22"/>
          <w:szCs w:val="22"/>
        </w:rPr>
        <w:t xml:space="preserve"> et à une production plus modérée d’anticorps</w:t>
      </w:r>
      <w:r w:rsidR="00C5540F" w:rsidRPr="00B14682">
        <w:rPr>
          <w:rFonts w:ascii="Arial Narrow" w:hAnsi="Arial Narrow" w:cs="Arial"/>
          <w:sz w:val="22"/>
          <w:szCs w:val="22"/>
        </w:rPr>
        <w:t>,</w:t>
      </w:r>
      <w:r w:rsidR="00B63202" w:rsidRPr="00B14682">
        <w:rPr>
          <w:rFonts w:ascii="Arial Narrow" w:hAnsi="Arial Narrow" w:cs="Arial"/>
          <w:sz w:val="22"/>
          <w:szCs w:val="22"/>
        </w:rPr>
        <w:t xml:space="preserve"> en comparaison avec </w:t>
      </w:r>
      <w:r w:rsidR="00A1309C" w:rsidRPr="00B14682">
        <w:rPr>
          <w:rFonts w:ascii="Arial Narrow" w:hAnsi="Arial Narrow" w:cs="Arial"/>
          <w:sz w:val="22"/>
          <w:szCs w:val="22"/>
        </w:rPr>
        <w:t>les</w:t>
      </w:r>
      <w:r w:rsidR="00B63202" w:rsidRPr="00B14682">
        <w:rPr>
          <w:rFonts w:ascii="Arial Narrow" w:hAnsi="Arial Narrow" w:cs="Arial"/>
          <w:sz w:val="22"/>
          <w:szCs w:val="22"/>
        </w:rPr>
        <w:t xml:space="preserve"> patients </w:t>
      </w:r>
      <w:r w:rsidR="00C5540F" w:rsidRPr="00B14682">
        <w:rPr>
          <w:rFonts w:ascii="Arial Narrow" w:hAnsi="Arial Narrow" w:cs="Arial"/>
          <w:sz w:val="22"/>
          <w:szCs w:val="22"/>
        </w:rPr>
        <w:t xml:space="preserve">présentant </w:t>
      </w:r>
      <w:r w:rsidR="00B14682">
        <w:rPr>
          <w:rFonts w:ascii="Arial Narrow" w:hAnsi="Arial Narrow" w:cs="Arial"/>
          <w:sz w:val="22"/>
          <w:szCs w:val="22"/>
        </w:rPr>
        <w:t>d</w:t>
      </w:r>
      <w:r w:rsidR="00C5540F" w:rsidRPr="00B14682">
        <w:rPr>
          <w:rFonts w:ascii="Arial Narrow" w:hAnsi="Arial Narrow" w:cs="Arial"/>
          <w:sz w:val="22"/>
          <w:szCs w:val="22"/>
        </w:rPr>
        <w:t>es signes cliniques</w:t>
      </w:r>
      <w:r w:rsidR="00B63202" w:rsidRPr="00B14682">
        <w:rPr>
          <w:rFonts w:ascii="Arial Narrow" w:hAnsi="Arial Narrow" w:cs="Arial"/>
          <w:sz w:val="22"/>
          <w:szCs w:val="22"/>
        </w:rPr>
        <w:t xml:space="preserve">.  </w:t>
      </w:r>
    </w:p>
    <w:p w14:paraId="3A6854FA" w14:textId="65C01786" w:rsidR="00F14B80" w:rsidRPr="00B14682" w:rsidRDefault="00313833" w:rsidP="00F14B80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B14682">
        <w:rPr>
          <w:rFonts w:ascii="Arial Narrow" w:hAnsi="Arial Narrow" w:cs="Arial"/>
          <w:sz w:val="22"/>
          <w:szCs w:val="22"/>
        </w:rPr>
        <w:t xml:space="preserve">Comme le souligne </w:t>
      </w:r>
      <w:r w:rsidR="00EF642D" w:rsidRPr="00F73928">
        <w:rPr>
          <w:rFonts w:ascii="Arial Narrow" w:hAnsi="Arial Narrow" w:cs="Arial"/>
          <w:sz w:val="22"/>
          <w:szCs w:val="22"/>
        </w:rPr>
        <w:t xml:space="preserve">Anavaj </w:t>
      </w:r>
      <w:proofErr w:type="spellStart"/>
      <w:r w:rsidR="00EF642D" w:rsidRPr="00F73928">
        <w:rPr>
          <w:rFonts w:ascii="Arial Narrow" w:hAnsi="Arial Narrow" w:cs="Arial"/>
          <w:sz w:val="22"/>
          <w:szCs w:val="22"/>
        </w:rPr>
        <w:t>Sakuntabhai</w:t>
      </w:r>
      <w:proofErr w:type="spellEnd"/>
      <w:r w:rsidR="00EF642D" w:rsidRPr="00F73928">
        <w:rPr>
          <w:rFonts w:ascii="Arial Narrow" w:hAnsi="Arial Narrow" w:cs="Arial"/>
          <w:sz w:val="22"/>
          <w:szCs w:val="22"/>
        </w:rPr>
        <w:t>,</w:t>
      </w:r>
      <w:r w:rsidR="00CB7BBF" w:rsidRPr="00F73928">
        <w:rPr>
          <w:rFonts w:ascii="Arial Narrow" w:hAnsi="Arial Narrow" w:cs="Arial"/>
          <w:sz w:val="22"/>
          <w:szCs w:val="22"/>
        </w:rPr>
        <w:t xml:space="preserve"> </w:t>
      </w:r>
      <w:r w:rsidR="00487E88" w:rsidRPr="00F73928">
        <w:rPr>
          <w:rFonts w:ascii="Arial Narrow" w:hAnsi="Arial Narrow" w:cs="Arial"/>
          <w:sz w:val="22"/>
          <w:szCs w:val="22"/>
        </w:rPr>
        <w:t>d</w:t>
      </w:r>
      <w:r w:rsidR="0075315C" w:rsidRPr="00F73928">
        <w:rPr>
          <w:rFonts w:ascii="Arial Narrow" w:hAnsi="Arial Narrow" w:cs="Arial"/>
          <w:sz w:val="22"/>
          <w:szCs w:val="22"/>
        </w:rPr>
        <w:t>irecteur</w:t>
      </w:r>
      <w:r w:rsidR="00C5540F" w:rsidRPr="00F73928">
        <w:rPr>
          <w:rFonts w:ascii="Arial Narrow" w:hAnsi="Arial Narrow" w:cs="Arial"/>
          <w:sz w:val="22"/>
          <w:szCs w:val="22"/>
        </w:rPr>
        <w:t xml:space="preserve"> de l’unité</w:t>
      </w:r>
      <w:r w:rsidR="00BD0298" w:rsidRPr="00F73928">
        <w:rPr>
          <w:rFonts w:ascii="Arial Narrow" w:hAnsi="Arial Narrow" w:cs="Arial"/>
          <w:sz w:val="22"/>
          <w:szCs w:val="22"/>
        </w:rPr>
        <w:t xml:space="preserve"> de</w:t>
      </w:r>
      <w:r w:rsidR="00C5540F" w:rsidRPr="00F73928">
        <w:rPr>
          <w:rFonts w:ascii="Arial Narrow" w:hAnsi="Arial Narrow" w:cs="Arial"/>
          <w:sz w:val="22"/>
          <w:szCs w:val="22"/>
        </w:rPr>
        <w:t xml:space="preserve"> </w:t>
      </w:r>
      <w:r w:rsidR="00505841" w:rsidRPr="00F73928">
        <w:rPr>
          <w:rFonts w:ascii="Arial Narrow" w:hAnsi="Arial Narrow" w:cs="Arial"/>
          <w:sz w:val="22"/>
          <w:szCs w:val="22"/>
        </w:rPr>
        <w:t>G</w:t>
      </w:r>
      <w:r w:rsidR="008A2F6B" w:rsidRPr="00F73928">
        <w:rPr>
          <w:rFonts w:ascii="Arial Narrow" w:hAnsi="Arial Narrow" w:cs="Arial"/>
          <w:sz w:val="22"/>
          <w:szCs w:val="22"/>
        </w:rPr>
        <w:t>énétique fonctionnelle des maladies infectieuses à l’</w:t>
      </w:r>
      <w:r w:rsidR="00EF642D" w:rsidRPr="00F73928">
        <w:rPr>
          <w:rFonts w:ascii="Arial Narrow" w:hAnsi="Arial Narrow" w:cs="Arial"/>
          <w:sz w:val="22"/>
          <w:szCs w:val="22"/>
        </w:rPr>
        <w:t>Institut Pasteur</w:t>
      </w:r>
      <w:r w:rsidR="00C5540F" w:rsidRPr="00F73928">
        <w:rPr>
          <w:rFonts w:ascii="Arial Narrow" w:hAnsi="Arial Narrow" w:cs="Arial"/>
          <w:sz w:val="22"/>
          <w:szCs w:val="22"/>
        </w:rPr>
        <w:t xml:space="preserve"> à Paris</w:t>
      </w:r>
      <w:r w:rsidR="00CB7BBF" w:rsidRPr="00820A3D">
        <w:rPr>
          <w:rFonts w:ascii="Arial Narrow" w:hAnsi="Arial Narrow" w:cs="Arial"/>
          <w:sz w:val="22"/>
          <w:szCs w:val="22"/>
        </w:rPr>
        <w:t>,</w:t>
      </w:r>
      <w:r w:rsidR="00BD0298" w:rsidRPr="00820A3D">
        <w:rPr>
          <w:rFonts w:ascii="Arial Narrow" w:hAnsi="Arial Narrow" w:cs="Arial"/>
          <w:sz w:val="22"/>
          <w:szCs w:val="22"/>
        </w:rPr>
        <w:t xml:space="preserve"> </w:t>
      </w:r>
      <w:r w:rsidR="008A2F6B" w:rsidRPr="00820A3D">
        <w:rPr>
          <w:rFonts w:ascii="Arial Narrow" w:hAnsi="Arial Narrow" w:cs="Arial"/>
          <w:sz w:val="22"/>
          <w:szCs w:val="22"/>
        </w:rPr>
        <w:t xml:space="preserve">qui </w:t>
      </w:r>
      <w:r w:rsidR="00C5540F" w:rsidRPr="00820A3D">
        <w:rPr>
          <w:rFonts w:ascii="Arial Narrow" w:hAnsi="Arial Narrow" w:cs="Arial"/>
          <w:sz w:val="22"/>
          <w:szCs w:val="22"/>
        </w:rPr>
        <w:t xml:space="preserve">a </w:t>
      </w:r>
      <w:proofErr w:type="spellStart"/>
      <w:r w:rsidR="00C5540F" w:rsidRPr="00820A3D">
        <w:rPr>
          <w:rFonts w:ascii="Arial Narrow" w:hAnsi="Arial Narrow" w:cs="Arial"/>
          <w:sz w:val="22"/>
          <w:szCs w:val="22"/>
        </w:rPr>
        <w:t>co</w:t>
      </w:r>
      <w:proofErr w:type="spellEnd"/>
      <w:r w:rsidR="00C5540F" w:rsidRPr="00820A3D">
        <w:rPr>
          <w:rFonts w:ascii="Arial Narrow" w:hAnsi="Arial Narrow" w:cs="Arial"/>
          <w:sz w:val="22"/>
          <w:szCs w:val="22"/>
        </w:rPr>
        <w:t>-</w:t>
      </w:r>
      <w:r w:rsidR="00120186" w:rsidRPr="00820A3D">
        <w:rPr>
          <w:rFonts w:ascii="Arial Narrow" w:hAnsi="Arial Narrow" w:cs="Arial"/>
          <w:sz w:val="22"/>
          <w:szCs w:val="22"/>
        </w:rPr>
        <w:t>supervisé ces travaux</w:t>
      </w:r>
      <w:r w:rsidR="00EF642D" w:rsidRPr="00820A3D">
        <w:rPr>
          <w:rFonts w:ascii="Arial Narrow" w:hAnsi="Arial Narrow" w:cs="Arial"/>
          <w:sz w:val="22"/>
          <w:szCs w:val="22"/>
        </w:rPr>
        <w:t> : « </w:t>
      </w:r>
      <w:r w:rsidR="001419B8" w:rsidRPr="00487E88">
        <w:rPr>
          <w:rFonts w:ascii="Arial Narrow" w:hAnsi="Arial Narrow" w:cs="Arial"/>
          <w:i/>
          <w:sz w:val="22"/>
          <w:szCs w:val="22"/>
        </w:rPr>
        <w:t xml:space="preserve">Les travaux de recherche s’intéressent </w:t>
      </w:r>
      <w:r w:rsidR="00AC06F4" w:rsidRPr="00487E88">
        <w:rPr>
          <w:rFonts w:ascii="Arial Narrow" w:hAnsi="Arial Narrow" w:cs="Arial"/>
          <w:i/>
          <w:sz w:val="22"/>
          <w:szCs w:val="22"/>
        </w:rPr>
        <w:t>habituellement</w:t>
      </w:r>
      <w:r w:rsidR="001419B8" w:rsidRPr="00487E88">
        <w:rPr>
          <w:rFonts w:ascii="Arial Narrow" w:hAnsi="Arial Narrow" w:cs="Arial"/>
          <w:i/>
          <w:sz w:val="22"/>
          <w:szCs w:val="22"/>
        </w:rPr>
        <w:t xml:space="preserve"> à étudier les patients malades. En explorant des patients infectés mais asymptomatiques, cette étude </w:t>
      </w:r>
      <w:r w:rsidR="00E56E90" w:rsidRPr="00487E88">
        <w:rPr>
          <w:rFonts w:ascii="Arial Narrow" w:hAnsi="Arial Narrow" w:cs="Arial"/>
          <w:i/>
          <w:sz w:val="22"/>
          <w:szCs w:val="22"/>
        </w:rPr>
        <w:t xml:space="preserve">aide à </w:t>
      </w:r>
      <w:r w:rsidR="00AC06F4" w:rsidRPr="00487E88">
        <w:rPr>
          <w:rFonts w:ascii="Arial Narrow" w:hAnsi="Arial Narrow" w:cs="Arial"/>
          <w:i/>
          <w:sz w:val="22"/>
          <w:szCs w:val="22"/>
        </w:rPr>
        <w:t xml:space="preserve">comprendre les mécanismes qui permettent </w:t>
      </w:r>
      <w:r w:rsidR="00E56E90" w:rsidRPr="00487E88">
        <w:rPr>
          <w:rFonts w:ascii="Arial Narrow" w:hAnsi="Arial Narrow" w:cs="Arial"/>
          <w:i/>
          <w:sz w:val="22"/>
          <w:szCs w:val="22"/>
        </w:rPr>
        <w:t xml:space="preserve"> de ne pas développer les symptô</w:t>
      </w:r>
      <w:r w:rsidR="00AC06F4" w:rsidRPr="00487E88">
        <w:rPr>
          <w:rFonts w:ascii="Arial Narrow" w:hAnsi="Arial Narrow" w:cs="Arial"/>
          <w:i/>
          <w:sz w:val="22"/>
          <w:szCs w:val="22"/>
        </w:rPr>
        <w:t>mes suite à une infection</w:t>
      </w:r>
      <w:r w:rsidR="00E56E90" w:rsidRPr="00487E88">
        <w:rPr>
          <w:rFonts w:ascii="Arial Narrow" w:hAnsi="Arial Narrow" w:cs="Arial"/>
          <w:i/>
          <w:sz w:val="22"/>
          <w:szCs w:val="22"/>
        </w:rPr>
        <w:t>. Ceci invite à revisiter</w:t>
      </w:r>
      <w:r w:rsidR="00AC06F4" w:rsidRPr="00487E88">
        <w:rPr>
          <w:rFonts w:ascii="Arial Narrow" w:hAnsi="Arial Narrow" w:cs="Arial"/>
          <w:i/>
          <w:sz w:val="22"/>
          <w:szCs w:val="22"/>
        </w:rPr>
        <w:t xml:space="preserve"> la composition des</w:t>
      </w:r>
      <w:r w:rsidR="001419B8" w:rsidRPr="00487E88">
        <w:rPr>
          <w:rFonts w:ascii="Arial Narrow" w:hAnsi="Arial Narrow" w:cs="Arial"/>
          <w:i/>
          <w:sz w:val="22"/>
          <w:szCs w:val="22"/>
        </w:rPr>
        <w:t xml:space="preserve"> vaccins pour mieux prévenir les infections</w:t>
      </w:r>
      <w:r w:rsidR="00E56E90">
        <w:rPr>
          <w:rFonts w:ascii="Arial Narrow" w:hAnsi="Arial Narrow" w:cs="Arial"/>
          <w:sz w:val="22"/>
          <w:szCs w:val="22"/>
        </w:rPr>
        <w:t>.</w:t>
      </w:r>
      <w:r w:rsidR="00806077">
        <w:rPr>
          <w:rFonts w:ascii="Arial Narrow" w:hAnsi="Arial Narrow" w:cs="Arial"/>
          <w:sz w:val="22"/>
          <w:szCs w:val="22"/>
        </w:rPr>
        <w:t> »</w:t>
      </w:r>
      <w:r w:rsidR="001419B8" w:rsidRPr="00742F34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</w:p>
    <w:p w14:paraId="08956B7E" w14:textId="3825F174" w:rsidR="00F44502" w:rsidRDefault="001419B8" w:rsidP="00F14B80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B14682">
        <w:rPr>
          <w:rFonts w:ascii="Arial Narrow" w:hAnsi="Arial Narrow" w:cs="Arial"/>
          <w:sz w:val="22"/>
          <w:szCs w:val="22"/>
        </w:rPr>
        <w:t xml:space="preserve">Les résultats de cette étude originale ouvrent la voie à de nouvelles pistes de recherche afin de développer </w:t>
      </w:r>
      <w:r w:rsidR="00B14682">
        <w:rPr>
          <w:rFonts w:ascii="Arial Narrow" w:hAnsi="Arial Narrow" w:cs="Arial"/>
          <w:sz w:val="22"/>
          <w:szCs w:val="22"/>
        </w:rPr>
        <w:t xml:space="preserve">un </w:t>
      </w:r>
      <w:r w:rsidRPr="00B14682">
        <w:rPr>
          <w:rFonts w:ascii="Arial Narrow" w:hAnsi="Arial Narrow" w:cs="Arial"/>
          <w:sz w:val="22"/>
          <w:szCs w:val="22"/>
        </w:rPr>
        <w:t xml:space="preserve">vaccin contre le virus de la dengue </w:t>
      </w:r>
      <w:r w:rsidR="00AC06F4" w:rsidRPr="00B14682">
        <w:rPr>
          <w:rFonts w:ascii="Arial Narrow" w:hAnsi="Arial Narrow" w:cs="Arial"/>
          <w:sz w:val="22"/>
          <w:szCs w:val="22"/>
        </w:rPr>
        <w:t>pouvant</w:t>
      </w:r>
      <w:r w:rsidRPr="00B14682">
        <w:rPr>
          <w:rFonts w:ascii="Arial Narrow" w:hAnsi="Arial Narrow" w:cs="Arial"/>
          <w:sz w:val="22"/>
          <w:szCs w:val="22"/>
        </w:rPr>
        <w:t xml:space="preserve"> conférer une immunité protectrice </w:t>
      </w:r>
      <w:r w:rsidR="00AC06F4" w:rsidRPr="00B14682">
        <w:rPr>
          <w:rFonts w:ascii="Arial Narrow" w:hAnsi="Arial Narrow" w:cs="Arial"/>
          <w:sz w:val="22"/>
          <w:szCs w:val="22"/>
        </w:rPr>
        <w:t xml:space="preserve">plus complète </w:t>
      </w:r>
      <w:r w:rsidRPr="00B14682">
        <w:rPr>
          <w:rFonts w:ascii="Arial Narrow" w:hAnsi="Arial Narrow" w:cs="Arial"/>
          <w:sz w:val="22"/>
          <w:szCs w:val="22"/>
        </w:rPr>
        <w:t xml:space="preserve">contre les quatre sérotypes du virus de la dengue et </w:t>
      </w:r>
      <w:r w:rsidR="00AC06F4" w:rsidRPr="00B14682">
        <w:rPr>
          <w:rFonts w:ascii="Arial Narrow" w:hAnsi="Arial Narrow" w:cs="Arial"/>
          <w:sz w:val="22"/>
          <w:szCs w:val="22"/>
        </w:rPr>
        <w:t>prévenir également</w:t>
      </w:r>
      <w:r w:rsidRPr="00B14682">
        <w:rPr>
          <w:rFonts w:ascii="Arial Narrow" w:hAnsi="Arial Narrow" w:cs="Arial"/>
          <w:sz w:val="22"/>
          <w:szCs w:val="22"/>
        </w:rPr>
        <w:t xml:space="preserve"> la transmission de cette maladie qui constitue une véritable menace à travers le monde.</w:t>
      </w:r>
    </w:p>
    <w:p w14:paraId="323D6957" w14:textId="77777777" w:rsidR="00487E88" w:rsidRPr="00B14682" w:rsidRDefault="00487E88" w:rsidP="00A41EC9">
      <w:pPr>
        <w:pStyle w:val="NormalWeb"/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6529"/>
      </w:tblGrid>
      <w:tr w:rsidR="009E43F7" w:rsidRPr="00742F34" w14:paraId="3BF7D164" w14:textId="77777777" w:rsidTr="00975A58">
        <w:tc>
          <w:tcPr>
            <w:tcW w:w="2084" w:type="dxa"/>
          </w:tcPr>
          <w:p w14:paraId="7D057328" w14:textId="607FE983" w:rsidR="009E43F7" w:rsidRPr="00742F34" w:rsidRDefault="009E43F7" w:rsidP="00440F21">
            <w:pPr>
              <w:pStyle w:val="NormalWeb"/>
              <w:spacing w:line="276" w:lineRule="auto"/>
              <w:ind w:hanging="108"/>
              <w:rPr>
                <w:i/>
                <w:sz w:val="24"/>
                <w:szCs w:val="24"/>
              </w:rPr>
            </w:pPr>
            <w:r w:rsidRPr="00742F34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pacing w:val="-8"/>
              </w:rPr>
              <w:lastRenderedPageBreak/>
              <w:drawing>
                <wp:inline distT="0" distB="0" distL="0" distR="0" wp14:anchorId="262E3928" wp14:editId="565382F4">
                  <wp:extent cx="1254760" cy="270961"/>
                  <wp:effectExtent l="0" t="0" r="0" b="889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96" cy="27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14:paraId="551FB1E0" w14:textId="24750F46" w:rsidR="009E43F7" w:rsidRPr="00742F34" w:rsidRDefault="009E43F7" w:rsidP="00440F21">
            <w:pPr>
              <w:pStyle w:val="NormalWeb"/>
              <w:spacing w:line="276" w:lineRule="auto"/>
              <w:rPr>
                <w:i/>
                <w:sz w:val="24"/>
                <w:szCs w:val="24"/>
              </w:rPr>
            </w:pPr>
            <w:r w:rsidRPr="00742F3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C8E0A" wp14:editId="01C5B52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117475</wp:posOffset>
                      </wp:positionV>
                      <wp:extent cx="1485900" cy="0"/>
                      <wp:effectExtent l="0" t="0" r="12700" b="2540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0F303D34" id="Connecteur droit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9.25pt" to="121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" strokecolor="black [3213]" strokeweight=".5pt"/>
                  </w:pict>
                </mc:Fallback>
              </mc:AlternateContent>
            </w:r>
          </w:p>
        </w:tc>
      </w:tr>
    </w:tbl>
    <w:p w14:paraId="102CFDC5" w14:textId="7F8E4D80" w:rsidR="00346124" w:rsidRPr="00742F34" w:rsidRDefault="00346124" w:rsidP="00126C0E">
      <w:pPr>
        <w:ind w:left="2124" w:firstLine="851"/>
        <w:rPr>
          <w:rFonts w:ascii="Times" w:hAnsi="Times"/>
          <w:sz w:val="22"/>
          <w:szCs w:val="22"/>
        </w:rPr>
      </w:pPr>
    </w:p>
    <w:p w14:paraId="3F6E2AC7" w14:textId="114405B5" w:rsidR="008270E3" w:rsidRDefault="001365F2" w:rsidP="00126C0E">
      <w:pPr>
        <w:ind w:left="2124"/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r w:rsidRPr="003E31A3">
        <w:rPr>
          <w:rFonts w:ascii="Arial" w:hAnsi="Arial" w:cs="Arial"/>
          <w:b/>
          <w:sz w:val="18"/>
          <w:szCs w:val="18"/>
          <w:lang w:val="en-US"/>
        </w:rPr>
        <w:t xml:space="preserve">Increased </w:t>
      </w:r>
      <w:proofErr w:type="spellStart"/>
      <w:r w:rsidRPr="003E31A3">
        <w:rPr>
          <w:rFonts w:ascii="Arial" w:hAnsi="Arial" w:cs="Arial"/>
          <w:b/>
          <w:sz w:val="18"/>
          <w:szCs w:val="18"/>
          <w:lang w:val="en-US"/>
        </w:rPr>
        <w:t>adaptative</w:t>
      </w:r>
      <w:proofErr w:type="spellEnd"/>
      <w:r w:rsidRPr="003E31A3">
        <w:rPr>
          <w:rFonts w:ascii="Arial" w:hAnsi="Arial" w:cs="Arial"/>
          <w:b/>
          <w:sz w:val="18"/>
          <w:szCs w:val="18"/>
          <w:lang w:val="en-US"/>
        </w:rPr>
        <w:t xml:space="preserve"> immune </w:t>
      </w:r>
      <w:r w:rsidRPr="00F924BA">
        <w:rPr>
          <w:rFonts w:ascii="Arial" w:hAnsi="Arial" w:cs="Arial"/>
          <w:b/>
          <w:sz w:val="18"/>
          <w:szCs w:val="18"/>
          <w:lang w:val="en-US"/>
        </w:rPr>
        <w:t xml:space="preserve">responses and proper feedback regulation protect against clinical dengue, </w:t>
      </w:r>
      <w:r w:rsidRPr="00F924BA">
        <w:rPr>
          <w:rFonts w:ascii="Arial" w:hAnsi="Arial" w:cs="Arial"/>
          <w:b/>
          <w:i/>
          <w:sz w:val="18"/>
          <w:szCs w:val="18"/>
          <w:lang w:val="en-US"/>
        </w:rPr>
        <w:t>Science</w:t>
      </w:r>
      <w:r w:rsidR="00866526" w:rsidRPr="00F924BA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 w:rsidRPr="00F924BA">
        <w:rPr>
          <w:rFonts w:ascii="Arial" w:hAnsi="Arial" w:cs="Arial"/>
          <w:b/>
          <w:i/>
          <w:sz w:val="18"/>
          <w:szCs w:val="18"/>
          <w:lang w:val="en-US"/>
        </w:rPr>
        <w:t>Translation</w:t>
      </w:r>
      <w:r w:rsidR="002D54D4">
        <w:rPr>
          <w:rFonts w:ascii="Arial" w:hAnsi="Arial" w:cs="Arial"/>
          <w:b/>
          <w:i/>
          <w:sz w:val="18"/>
          <w:szCs w:val="18"/>
          <w:lang w:val="en-US"/>
        </w:rPr>
        <w:t>al</w:t>
      </w:r>
      <w:r w:rsidRPr="00F924BA">
        <w:rPr>
          <w:rFonts w:ascii="Arial" w:hAnsi="Arial" w:cs="Arial"/>
          <w:b/>
          <w:i/>
          <w:sz w:val="18"/>
          <w:szCs w:val="18"/>
          <w:lang w:val="en-US"/>
        </w:rPr>
        <w:t xml:space="preserve"> Medicine</w:t>
      </w:r>
      <w:r w:rsidR="00746CF0" w:rsidRPr="00F924BA">
        <w:rPr>
          <w:rFonts w:ascii="Arial" w:hAnsi="Arial" w:cs="Arial"/>
          <w:b/>
          <w:i/>
          <w:sz w:val="18"/>
          <w:szCs w:val="18"/>
          <w:lang w:val="en-US"/>
        </w:rPr>
        <w:t>,</w:t>
      </w:r>
      <w:r w:rsidR="00746CF0" w:rsidRPr="00F924BA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F924BA">
        <w:rPr>
          <w:rFonts w:ascii="Arial" w:hAnsi="Arial" w:cs="Arial"/>
          <w:sz w:val="18"/>
          <w:szCs w:val="18"/>
          <w:lang w:val="en-US"/>
        </w:rPr>
        <w:t xml:space="preserve">30 </w:t>
      </w:r>
      <w:proofErr w:type="spellStart"/>
      <w:r w:rsidR="00F924BA" w:rsidRPr="00F924BA">
        <w:rPr>
          <w:rFonts w:ascii="Arial" w:hAnsi="Arial" w:cs="Arial"/>
          <w:sz w:val="18"/>
          <w:szCs w:val="18"/>
          <w:lang w:val="en-US"/>
        </w:rPr>
        <w:t>août</w:t>
      </w:r>
      <w:proofErr w:type="spellEnd"/>
      <w:r w:rsidR="00866526" w:rsidRPr="00F924BA">
        <w:rPr>
          <w:rFonts w:ascii="Arial" w:hAnsi="Arial" w:cs="Arial"/>
          <w:sz w:val="18"/>
          <w:szCs w:val="18"/>
          <w:lang w:val="en-US"/>
        </w:rPr>
        <w:t xml:space="preserve"> 2017</w:t>
      </w:r>
    </w:p>
    <w:p w14:paraId="1CD03D5F" w14:textId="484AB822" w:rsidR="00746CF0" w:rsidRPr="003E31A3" w:rsidRDefault="00746CF0" w:rsidP="00126C0E">
      <w:pPr>
        <w:ind w:left="2124"/>
        <w:jc w:val="both"/>
        <w:rPr>
          <w:rFonts w:ascii="Arial" w:hAnsi="Arial" w:cs="Arial"/>
          <w:sz w:val="18"/>
          <w:szCs w:val="18"/>
          <w:lang w:val="en-US"/>
        </w:rPr>
      </w:pPr>
    </w:p>
    <w:p w14:paraId="355A39DA" w14:textId="77777777" w:rsidR="001430E8" w:rsidRPr="006C24D7" w:rsidRDefault="001430E8" w:rsidP="001430E8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Etienne Simon-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Lorière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1,2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Veasna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Duong (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3</w:t>
      </w:r>
      <w:r>
        <w:rPr>
          <w:rFonts w:ascii="Arial" w:hAnsi="Arial" w:cs="Arial"/>
          <w:color w:val="000000"/>
          <w:sz w:val="18"/>
          <w:szCs w:val="18"/>
          <w:lang w:val="en-US"/>
        </w:rPr>
        <w:t>),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 xml:space="preserve"> Ahmed </w:t>
      </w:r>
      <w:proofErr w:type="spellStart"/>
      <w:r w:rsidRPr="006C24D7">
        <w:rPr>
          <w:rFonts w:ascii="Arial" w:hAnsi="Arial" w:cs="Arial"/>
          <w:color w:val="000000"/>
          <w:sz w:val="18"/>
          <w:szCs w:val="18"/>
          <w:lang w:val="en-US"/>
        </w:rPr>
        <w:t>Tawfik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1,2</w:t>
      </w:r>
      <w:r>
        <w:rPr>
          <w:rFonts w:ascii="Arial" w:hAnsi="Arial" w:cs="Arial"/>
          <w:color w:val="000000"/>
          <w:sz w:val="18"/>
          <w:szCs w:val="18"/>
          <w:lang w:val="en-US"/>
        </w:rPr>
        <w:t>),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Sivlin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Ung (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4</w:t>
      </w:r>
      <w:r>
        <w:rPr>
          <w:rFonts w:ascii="Arial" w:hAnsi="Arial" w:cs="Arial"/>
          <w:color w:val="000000"/>
          <w:sz w:val="18"/>
          <w:szCs w:val="18"/>
          <w:lang w:val="en-US"/>
        </w:rPr>
        <w:t>),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Sowath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Ly (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), </w:t>
      </w:r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Isabelle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Casadémont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(1,2),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Matthieu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Prot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(1,2),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Noémie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Courtejoie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(1,2), Kevin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Bleakley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(6,7), Philippe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Buchy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(3,8), Arnaud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Tarantola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(5,8), Philippe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Dussart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(3),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Tineke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Cantaert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(4), Anavaj </w:t>
      </w:r>
      <w:proofErr w:type="spellStart"/>
      <w:r w:rsidRPr="006D2A02">
        <w:rPr>
          <w:rFonts w:ascii="Arial" w:hAnsi="Arial" w:cs="Arial"/>
          <w:color w:val="000000"/>
          <w:sz w:val="18"/>
          <w:szCs w:val="18"/>
          <w:lang w:val="en-US"/>
        </w:rPr>
        <w:t>Sakuntabhai</w:t>
      </w:r>
      <w:proofErr w:type="spellEnd"/>
      <w:r w:rsidRPr="006D2A02">
        <w:rPr>
          <w:rFonts w:ascii="Arial" w:hAnsi="Arial" w:cs="Arial"/>
          <w:color w:val="000000"/>
          <w:sz w:val="18"/>
          <w:szCs w:val="18"/>
          <w:lang w:val="en-US"/>
        </w:rPr>
        <w:t xml:space="preserve"> (1,2)</w:t>
      </w:r>
    </w:p>
    <w:p w14:paraId="616A395C" w14:textId="77777777" w:rsidR="001430E8" w:rsidRPr="006D2A02" w:rsidRDefault="001430E8" w:rsidP="001430E8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43275E1B" w14:textId="77777777" w:rsidR="001430E8" w:rsidRPr="006C24D7" w:rsidRDefault="001430E8" w:rsidP="001430E8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 w:rsidRPr="006C24D7">
        <w:rPr>
          <w:rFonts w:ascii="Arial" w:hAnsi="Arial" w:cs="Arial"/>
          <w:color w:val="000000"/>
          <w:sz w:val="18"/>
          <w:szCs w:val="18"/>
          <w:lang w:val="en-US"/>
        </w:rPr>
        <w:t>1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Functional Genetics</w:t>
      </w:r>
      <w:proofErr w:type="gramEnd"/>
      <w:r w:rsidRPr="006C24D7">
        <w:rPr>
          <w:rFonts w:ascii="Arial" w:hAnsi="Arial" w:cs="Arial"/>
          <w:color w:val="000000"/>
          <w:sz w:val="18"/>
          <w:szCs w:val="18"/>
          <w:lang w:val="en-US"/>
        </w:rPr>
        <w:t xml:space="preserve"> of Infectious Diseases Unit, Department of Genomes and Genetics,</w:t>
      </w:r>
    </w:p>
    <w:p w14:paraId="585209EC" w14:textId="77777777" w:rsidR="001430E8" w:rsidRPr="00975444" w:rsidRDefault="001430E8" w:rsidP="001430E8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  <w:lang w:val="en-US"/>
        </w:rPr>
      </w:pPr>
      <w:r w:rsidRPr="006C24D7">
        <w:rPr>
          <w:rFonts w:ascii="Arial" w:hAnsi="Arial" w:cs="Arial"/>
          <w:color w:val="000000"/>
          <w:sz w:val="18"/>
          <w:szCs w:val="18"/>
        </w:rPr>
        <w:t xml:space="preserve">Institut Pasteur, 75015 Paris, France.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C24D7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</w:rPr>
        <w:t>CNRS, Unité de Recherche Associée 3012,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</w:rPr>
        <w:t xml:space="preserve">75015 Paris, France.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Pr="00B8185C">
        <w:rPr>
          <w:rFonts w:ascii="Arial" w:hAnsi="Arial" w:cs="Arial"/>
          <w:color w:val="000000"/>
          <w:sz w:val="18"/>
          <w:szCs w:val="18"/>
          <w:lang w:val="en-US"/>
        </w:rPr>
        <w:t xml:space="preserve">3 Virology Unit, </w:t>
      </w:r>
      <w:proofErr w:type="spellStart"/>
      <w:r w:rsidRPr="00B8185C">
        <w:rPr>
          <w:rFonts w:ascii="Arial" w:hAnsi="Arial" w:cs="Arial"/>
          <w:color w:val="000000"/>
          <w:sz w:val="18"/>
          <w:szCs w:val="18"/>
          <w:lang w:val="en-US"/>
        </w:rPr>
        <w:t>Institut</w:t>
      </w:r>
      <w:proofErr w:type="spellEnd"/>
      <w:r w:rsidRPr="00B8185C">
        <w:rPr>
          <w:rFonts w:ascii="Arial" w:hAnsi="Arial" w:cs="Arial"/>
          <w:color w:val="000000"/>
          <w:sz w:val="18"/>
          <w:szCs w:val="18"/>
          <w:lang w:val="en-US"/>
        </w:rPr>
        <w:t xml:space="preserve"> Pasteur du </w:t>
      </w:r>
      <w:proofErr w:type="spellStart"/>
      <w:r w:rsidRPr="00B8185C">
        <w:rPr>
          <w:rFonts w:ascii="Arial" w:hAnsi="Arial" w:cs="Arial"/>
          <w:color w:val="000000"/>
          <w:sz w:val="18"/>
          <w:szCs w:val="18"/>
          <w:lang w:val="en-US"/>
        </w:rPr>
        <w:t>Cambodge</w:t>
      </w:r>
      <w:proofErr w:type="spellEnd"/>
      <w:r w:rsidRPr="00B8185C">
        <w:rPr>
          <w:rFonts w:ascii="Arial" w:hAnsi="Arial" w:cs="Arial"/>
          <w:color w:val="000000"/>
          <w:sz w:val="18"/>
          <w:szCs w:val="18"/>
          <w:lang w:val="en-US"/>
        </w:rPr>
        <w:t>, International Network of Pasteur Institutes, 12201 Phnom Penh, Cambodia.</w:t>
      </w:r>
      <w:proofErr w:type="gramEnd"/>
      <w:r w:rsidRPr="00B8185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B8185C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975444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975444">
        <w:rPr>
          <w:rFonts w:ascii="Arial" w:hAnsi="Arial" w:cs="Arial"/>
          <w:color w:val="000000"/>
          <w:sz w:val="18"/>
          <w:szCs w:val="18"/>
        </w:rPr>
        <w:t>Immunology</w:t>
      </w:r>
      <w:proofErr w:type="spellEnd"/>
      <w:r w:rsidRPr="00975444">
        <w:rPr>
          <w:rFonts w:ascii="Arial" w:hAnsi="Arial" w:cs="Arial"/>
          <w:color w:val="000000"/>
          <w:sz w:val="18"/>
          <w:szCs w:val="18"/>
        </w:rPr>
        <w:t xml:space="preserve"> Group,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5444">
        <w:rPr>
          <w:rFonts w:ascii="Arial" w:hAnsi="Arial" w:cs="Arial"/>
          <w:color w:val="000000"/>
          <w:sz w:val="18"/>
          <w:szCs w:val="18"/>
        </w:rPr>
        <w:t>Institut Pasteur du Cambodge, International Network of Pasteur Institutes, 12201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5444">
        <w:rPr>
          <w:rFonts w:ascii="Arial" w:hAnsi="Arial" w:cs="Arial"/>
          <w:color w:val="000000"/>
          <w:sz w:val="18"/>
          <w:szCs w:val="18"/>
        </w:rPr>
        <w:t xml:space="preserve">Phnom Penh, </w:t>
      </w:r>
      <w:proofErr w:type="spellStart"/>
      <w:r w:rsidRPr="00975444">
        <w:rPr>
          <w:rFonts w:ascii="Arial" w:hAnsi="Arial" w:cs="Arial"/>
          <w:color w:val="000000"/>
          <w:sz w:val="18"/>
          <w:szCs w:val="18"/>
        </w:rPr>
        <w:t>Cambodia</w:t>
      </w:r>
      <w:proofErr w:type="spellEnd"/>
      <w:r w:rsidRPr="00975444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75444"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Pr="006C24D7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Epidemiology and Public Health Unit</w:t>
      </w:r>
      <w:r w:rsidRPr="00343893">
        <w:rPr>
          <w:rFonts w:ascii="Arial" w:hAnsi="Arial" w:cs="Arial"/>
          <w:color w:val="000000"/>
          <w:sz w:val="18"/>
          <w:szCs w:val="18"/>
        </w:rPr>
        <w:t>, Institut Pasteur du Cambodge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, International Network of Pasteur Institutes, 12201 Phnom Penh,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Cambodia.</w:t>
      </w:r>
      <w:proofErr w:type="gramEnd"/>
    </w:p>
    <w:p w14:paraId="5E5393F3" w14:textId="77777777" w:rsidR="001430E8" w:rsidRDefault="001430E8" w:rsidP="001430E8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  <w:lang w:val="en-US"/>
        </w:rPr>
      </w:pPr>
      <w:r w:rsidRPr="006C24D7"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</w:rPr>
        <w:t xml:space="preserve">INRIA Saclay, 91120 Palaiseau, France.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C24D7"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</w:rPr>
        <w:t>Département de Mathématiques d’Orsay,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D2A02">
        <w:rPr>
          <w:rFonts w:ascii="Arial" w:hAnsi="Arial" w:cs="Arial"/>
          <w:color w:val="231F20"/>
          <w:sz w:val="18"/>
          <w:szCs w:val="18"/>
        </w:rPr>
        <w:t xml:space="preserve">AQ2 </w:t>
      </w:r>
      <w:r w:rsidRPr="006D2A02">
        <w:rPr>
          <w:rFonts w:ascii="Arial" w:hAnsi="Arial" w:cs="Arial"/>
          <w:color w:val="000000"/>
          <w:sz w:val="18"/>
          <w:szCs w:val="18"/>
        </w:rPr>
        <w:t xml:space="preserve">91400 Orsay, France. </w:t>
      </w:r>
      <w:r w:rsidRPr="006D2A02">
        <w:rPr>
          <w:rFonts w:ascii="Arial" w:hAnsi="Arial" w:cs="Arial"/>
          <w:color w:val="000000"/>
          <w:sz w:val="18"/>
          <w:szCs w:val="18"/>
        </w:rPr>
        <w:br/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8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6C24D7">
        <w:rPr>
          <w:rFonts w:ascii="Arial" w:hAnsi="Arial" w:cs="Arial"/>
          <w:color w:val="000000"/>
          <w:sz w:val="18"/>
          <w:szCs w:val="18"/>
          <w:lang w:val="en-US"/>
        </w:rPr>
        <w:t>GlaxoSmithKline (GSK) Vaccines, 637421 Singapore, Singapore.</w:t>
      </w:r>
    </w:p>
    <w:p w14:paraId="143C6717" w14:textId="10C5DBF2" w:rsidR="00CE55E5" w:rsidRPr="00454B78" w:rsidRDefault="00CE55E5" w:rsidP="00126C0E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</w:rPr>
      </w:pPr>
    </w:p>
    <w:p w14:paraId="11938E7C" w14:textId="34AF08E1" w:rsidR="008B3F38" w:rsidRPr="00454B78" w:rsidRDefault="008B3F38" w:rsidP="00126C0E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</w:rPr>
      </w:pPr>
      <w:r w:rsidRPr="00454B78">
        <w:rPr>
          <w:rFonts w:ascii="Arial" w:hAnsi="Arial" w:cs="Arial"/>
          <w:color w:val="000000"/>
          <w:sz w:val="18"/>
          <w:szCs w:val="18"/>
        </w:rPr>
        <w:t>DOI</w:t>
      </w:r>
      <w:r w:rsidR="00454B78" w:rsidRPr="00454B78">
        <w:rPr>
          <w:rFonts w:ascii="Arial" w:hAnsi="Arial" w:cs="Arial"/>
          <w:color w:val="000000"/>
          <w:sz w:val="18"/>
          <w:szCs w:val="18"/>
        </w:rPr>
        <w:t xml:space="preserve"> : 10.1126/scitranslmed.aal5088</w:t>
      </w:r>
    </w:p>
    <w:p w14:paraId="40201861" w14:textId="2A541BE7" w:rsidR="00126C0E" w:rsidRPr="00454B78" w:rsidRDefault="00126C0E" w:rsidP="00126C0E">
      <w:pPr>
        <w:autoSpaceDE w:val="0"/>
        <w:autoSpaceDN w:val="0"/>
        <w:adjustRightInd w:val="0"/>
        <w:ind w:left="2124"/>
        <w:rPr>
          <w:rFonts w:ascii="Arial" w:hAnsi="Arial" w:cs="Arial"/>
          <w:color w:val="000000"/>
          <w:sz w:val="18"/>
          <w:szCs w:val="18"/>
        </w:rPr>
      </w:pPr>
    </w:p>
    <w:p w14:paraId="77BF3E83" w14:textId="77777777" w:rsidR="00126C0E" w:rsidRPr="00D024C4" w:rsidRDefault="00126C0E" w:rsidP="00126C0E">
      <w:pPr>
        <w:autoSpaceDE w:val="0"/>
        <w:autoSpaceDN w:val="0"/>
        <w:adjustRightInd w:val="0"/>
        <w:ind w:left="2124"/>
        <w:rPr>
          <w:rFonts w:ascii="AdvTTe45e47d2" w:hAnsi="AdvTTe45e47d2" w:cs="AdvTTe45e47d2"/>
          <w:color w:val="000000"/>
          <w:sz w:val="18"/>
          <w:szCs w:val="18"/>
        </w:rPr>
      </w:pPr>
    </w:p>
    <w:p w14:paraId="5FAFF7E5" w14:textId="77777777" w:rsidR="006D2A81" w:rsidRPr="00742F34" w:rsidRDefault="006D2A81" w:rsidP="00126C0E">
      <w:pPr>
        <w:autoSpaceDE w:val="0"/>
        <w:autoSpaceDN w:val="0"/>
        <w:adjustRightInd w:val="0"/>
        <w:ind w:left="2124"/>
        <w:rPr>
          <w:rFonts w:ascii="AdvTTe45e47d2" w:hAnsi="AdvTTe45e47d2" w:cs="AdvTTe45e47d2"/>
          <w:color w:val="000000"/>
          <w:sz w:val="15"/>
          <w:szCs w:val="15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6506"/>
      </w:tblGrid>
      <w:tr w:rsidR="008F7D18" w:rsidRPr="00742F34" w14:paraId="63271350" w14:textId="77777777" w:rsidTr="00F2030D">
        <w:tc>
          <w:tcPr>
            <w:tcW w:w="2316" w:type="dxa"/>
          </w:tcPr>
          <w:p w14:paraId="2C252C32" w14:textId="77777777" w:rsidR="008F7D18" w:rsidRPr="00742F34" w:rsidRDefault="008F7D18" w:rsidP="008F7D18">
            <w:pPr>
              <w:pStyle w:val="NormalWeb"/>
              <w:spacing w:line="276" w:lineRule="auto"/>
              <w:ind w:hanging="108"/>
              <w:rPr>
                <w:i/>
                <w:sz w:val="24"/>
                <w:szCs w:val="24"/>
              </w:rPr>
            </w:pPr>
            <w:r w:rsidRPr="00742F34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28C48A13" wp14:editId="16F1B13A">
                  <wp:extent cx="1402080" cy="307192"/>
                  <wp:effectExtent l="0" t="0" r="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4" cy="30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</w:tcPr>
          <w:p w14:paraId="291D4685" w14:textId="77777777" w:rsidR="008F7D18" w:rsidRPr="00742F34" w:rsidRDefault="008F7D18" w:rsidP="008F7D18">
            <w:pPr>
              <w:pStyle w:val="NormalWeb"/>
              <w:spacing w:line="276" w:lineRule="auto"/>
              <w:rPr>
                <w:i/>
                <w:sz w:val="24"/>
                <w:szCs w:val="24"/>
              </w:rPr>
            </w:pPr>
            <w:r w:rsidRPr="00742F3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28CBFF" wp14:editId="2526CBE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163195</wp:posOffset>
                      </wp:positionV>
                      <wp:extent cx="1485900" cy="0"/>
                      <wp:effectExtent l="0" t="0" r="12700" b="2540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line w14:anchorId="12342AE8" id="Connecteur droit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2.85pt" to="12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" strokecolor="black [3213]" strokeweight=".5pt"/>
                  </w:pict>
                </mc:Fallback>
              </mc:AlternateContent>
            </w:r>
          </w:p>
        </w:tc>
      </w:tr>
    </w:tbl>
    <w:p w14:paraId="18320D63" w14:textId="77777777" w:rsidR="00731252" w:rsidRDefault="00731252" w:rsidP="008F7D18">
      <w:pPr>
        <w:spacing w:line="360" w:lineRule="auto"/>
        <w:ind w:left="4253" w:hanging="2126"/>
        <w:rPr>
          <w:rFonts w:ascii="Times" w:hAnsi="Times" w:cs="Arial"/>
          <w:sz w:val="28"/>
          <w:szCs w:val="28"/>
        </w:rPr>
      </w:pPr>
    </w:p>
    <w:p w14:paraId="371B213B" w14:textId="77777777" w:rsidR="00C5540F" w:rsidRPr="00742F34" w:rsidRDefault="008F7D18" w:rsidP="008F7D18">
      <w:pPr>
        <w:spacing w:line="360" w:lineRule="auto"/>
        <w:ind w:left="4253" w:hanging="2126"/>
        <w:rPr>
          <w:rFonts w:ascii="Times" w:hAnsi="Times" w:cs="Arial"/>
          <w:sz w:val="28"/>
          <w:szCs w:val="28"/>
        </w:rPr>
      </w:pPr>
      <w:r w:rsidRPr="00742F34">
        <w:rPr>
          <w:rFonts w:ascii="Times" w:hAnsi="Times" w:cs="Arial"/>
          <w:sz w:val="28"/>
          <w:szCs w:val="28"/>
        </w:rPr>
        <w:t xml:space="preserve">Service de presse de l'Institut Pasteur </w:t>
      </w:r>
    </w:p>
    <w:p w14:paraId="6D9ADC18" w14:textId="6A5AC3EC" w:rsidR="008F7D18" w:rsidRDefault="0017600E" w:rsidP="008F7D18">
      <w:pPr>
        <w:spacing w:line="360" w:lineRule="auto"/>
        <w:ind w:left="4253" w:hanging="2126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742F34">
        <w:rPr>
          <w:rFonts w:ascii="Arial Narrow" w:hAnsi="Arial Narrow" w:cs="Arial"/>
          <w:b/>
          <w:sz w:val="20"/>
          <w:szCs w:val="20"/>
        </w:rPr>
        <w:t>AURELIE PERTHUISON</w:t>
      </w:r>
      <w:r w:rsidR="008F7D18" w:rsidRPr="00742F34">
        <w:rPr>
          <w:rFonts w:ascii="Arial Narrow" w:hAnsi="Arial Narrow" w:cs="Arial"/>
          <w:sz w:val="20"/>
          <w:szCs w:val="20"/>
        </w:rPr>
        <w:t xml:space="preserve">  </w:t>
      </w:r>
      <w:r w:rsidRPr="00742F34">
        <w:rPr>
          <w:rFonts w:ascii="Arial" w:hAnsi="Arial" w:cs="Arial"/>
          <w:b/>
          <w:color w:val="808080" w:themeColor="background1" w:themeShade="80"/>
          <w:sz w:val="20"/>
          <w:szCs w:val="20"/>
        </w:rPr>
        <w:t>01 45 68 81 01</w:t>
      </w:r>
    </w:p>
    <w:p w14:paraId="7F321E30" w14:textId="5E7C745C" w:rsidR="008B3F38" w:rsidRPr="00742F34" w:rsidRDefault="008B3F38" w:rsidP="008B3F38">
      <w:pPr>
        <w:spacing w:line="360" w:lineRule="auto"/>
        <w:ind w:left="4253" w:hanging="2126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NATHALIE FEUILLET</w:t>
      </w:r>
      <w:r w:rsidRPr="00742F34">
        <w:rPr>
          <w:rFonts w:ascii="Arial Narrow" w:hAnsi="Arial Narrow" w:cs="Arial"/>
          <w:sz w:val="20"/>
          <w:szCs w:val="20"/>
        </w:rPr>
        <w:t xml:space="preserve">  </w:t>
      </w:r>
      <w:r w:rsidRPr="00742F34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01 45 68 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81 09</w:t>
      </w:r>
    </w:p>
    <w:p w14:paraId="0775262D" w14:textId="26D6AEE0" w:rsidR="008F7D18" w:rsidRPr="00742F34" w:rsidRDefault="008F7D18" w:rsidP="00C5540F">
      <w:pPr>
        <w:spacing w:line="276" w:lineRule="auto"/>
        <w:ind w:left="4253" w:hanging="2126"/>
        <w:rPr>
          <w:rFonts w:ascii="Arial Narrow" w:hAnsi="Arial Narrow" w:cs="Arial"/>
          <w:b/>
          <w:sz w:val="20"/>
          <w:szCs w:val="20"/>
        </w:rPr>
      </w:pPr>
      <w:r w:rsidRPr="00742F34">
        <w:rPr>
          <w:rFonts w:ascii="Times" w:hAnsi="Times" w:cs="Arial"/>
          <w:color w:val="808080" w:themeColor="background1" w:themeShade="80"/>
        </w:rPr>
        <w:t>presse@pasteur.fr</w:t>
      </w:r>
    </w:p>
    <w:sectPr w:rsidR="008F7D18" w:rsidRPr="00742F34" w:rsidSect="00140407">
      <w:footerReference w:type="even" r:id="rId14"/>
      <w:footerReference w:type="default" r:id="rId15"/>
      <w:pgSz w:w="11900" w:h="16840"/>
      <w:pgMar w:top="709" w:right="843" w:bottom="426" w:left="1276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5BB40" w16cid:durableId="1D5823D1"/>
  <w16cid:commentId w16cid:paraId="69A37A7E" w16cid:durableId="1D593568"/>
  <w16cid:commentId w16cid:paraId="6CD359E5" w16cid:durableId="1D593511"/>
  <w16cid:commentId w16cid:paraId="39077657" w16cid:durableId="1D593696"/>
  <w16cid:commentId w16cid:paraId="0BBAE5FE" w16cid:durableId="1D593515"/>
  <w16cid:commentId w16cid:paraId="1C491E76" w16cid:durableId="1D5939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3E51F" w14:textId="77777777" w:rsidR="00414598" w:rsidRDefault="00414598" w:rsidP="00C00F5A">
      <w:r>
        <w:separator/>
      </w:r>
    </w:p>
  </w:endnote>
  <w:endnote w:type="continuationSeparator" w:id="0">
    <w:p w14:paraId="03E783D5" w14:textId="77777777" w:rsidR="00414598" w:rsidRDefault="00414598" w:rsidP="00C0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TTe45e47d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0EB7" w14:textId="77777777" w:rsidR="00CF49D7" w:rsidRDefault="00CF49D7" w:rsidP="00D5225B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B45FCC" w14:textId="77777777" w:rsidR="00CF49D7" w:rsidRDefault="00CF49D7" w:rsidP="000D5D7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BD22D" w14:textId="77777777" w:rsidR="00CF49D7" w:rsidRDefault="00CF49D7" w:rsidP="000D5D7B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696C4" w14:textId="77777777" w:rsidR="00414598" w:rsidRDefault="00414598" w:rsidP="00C00F5A">
      <w:r>
        <w:separator/>
      </w:r>
    </w:p>
  </w:footnote>
  <w:footnote w:type="continuationSeparator" w:id="0">
    <w:p w14:paraId="7685456F" w14:textId="77777777" w:rsidR="00414598" w:rsidRDefault="00414598" w:rsidP="00C0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529F"/>
    <w:multiLevelType w:val="hybridMultilevel"/>
    <w:tmpl w:val="A9C43778"/>
    <w:lvl w:ilvl="0" w:tplc="3E7C90C0">
      <w:numFmt w:val="bullet"/>
      <w:lvlText w:val=""/>
      <w:lvlJc w:val="left"/>
      <w:pPr>
        <w:ind w:left="2487" w:hanging="360"/>
      </w:pPr>
      <w:rPr>
        <w:rFonts w:ascii="Symbol" w:eastAsiaTheme="minorEastAsia" w:hAnsi="Symbol" w:cs="Times New Roman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0"/>
    <w:rsid w:val="00004C6B"/>
    <w:rsid w:val="00015DF7"/>
    <w:rsid w:val="000176E3"/>
    <w:rsid w:val="000242CC"/>
    <w:rsid w:val="00032ABC"/>
    <w:rsid w:val="00034126"/>
    <w:rsid w:val="0004765E"/>
    <w:rsid w:val="00050F36"/>
    <w:rsid w:val="00051D48"/>
    <w:rsid w:val="00052659"/>
    <w:rsid w:val="00057AD9"/>
    <w:rsid w:val="00064EEC"/>
    <w:rsid w:val="00094F81"/>
    <w:rsid w:val="000A27BF"/>
    <w:rsid w:val="000A3624"/>
    <w:rsid w:val="000A63D3"/>
    <w:rsid w:val="000B5B0B"/>
    <w:rsid w:val="000B6332"/>
    <w:rsid w:val="000C6FF6"/>
    <w:rsid w:val="000D5D7B"/>
    <w:rsid w:val="000D64AA"/>
    <w:rsid w:val="000E0E8F"/>
    <w:rsid w:val="000E5769"/>
    <w:rsid w:val="000F0E29"/>
    <w:rsid w:val="000F74CE"/>
    <w:rsid w:val="00101580"/>
    <w:rsid w:val="001152C2"/>
    <w:rsid w:val="00120186"/>
    <w:rsid w:val="00126C0E"/>
    <w:rsid w:val="001365F2"/>
    <w:rsid w:val="00140361"/>
    <w:rsid w:val="00140407"/>
    <w:rsid w:val="001419B8"/>
    <w:rsid w:val="001430E8"/>
    <w:rsid w:val="0015635C"/>
    <w:rsid w:val="00157C7B"/>
    <w:rsid w:val="00173F1C"/>
    <w:rsid w:val="0017600E"/>
    <w:rsid w:val="001C3F4B"/>
    <w:rsid w:val="001D4DFB"/>
    <w:rsid w:val="001E2AD1"/>
    <w:rsid w:val="001E3862"/>
    <w:rsid w:val="001E561B"/>
    <w:rsid w:val="001F0020"/>
    <w:rsid w:val="001F4F19"/>
    <w:rsid w:val="002023C6"/>
    <w:rsid w:val="002043B7"/>
    <w:rsid w:val="00206F22"/>
    <w:rsid w:val="002178C4"/>
    <w:rsid w:val="00220D6C"/>
    <w:rsid w:val="00246950"/>
    <w:rsid w:val="00246F36"/>
    <w:rsid w:val="0024772E"/>
    <w:rsid w:val="0025761C"/>
    <w:rsid w:val="00266D37"/>
    <w:rsid w:val="00267195"/>
    <w:rsid w:val="002804B7"/>
    <w:rsid w:val="002861DD"/>
    <w:rsid w:val="00287ED6"/>
    <w:rsid w:val="002970AA"/>
    <w:rsid w:val="002B6769"/>
    <w:rsid w:val="002C7906"/>
    <w:rsid w:val="002D54D4"/>
    <w:rsid w:val="002D5CA6"/>
    <w:rsid w:val="002E1BB7"/>
    <w:rsid w:val="00303AAD"/>
    <w:rsid w:val="00305218"/>
    <w:rsid w:val="00306D89"/>
    <w:rsid w:val="00312194"/>
    <w:rsid w:val="00313833"/>
    <w:rsid w:val="0033506D"/>
    <w:rsid w:val="00342512"/>
    <w:rsid w:val="00343893"/>
    <w:rsid w:val="00346124"/>
    <w:rsid w:val="00346B25"/>
    <w:rsid w:val="00356301"/>
    <w:rsid w:val="00357ED7"/>
    <w:rsid w:val="003647C6"/>
    <w:rsid w:val="00367DAD"/>
    <w:rsid w:val="00374D3B"/>
    <w:rsid w:val="003812C6"/>
    <w:rsid w:val="00382D4E"/>
    <w:rsid w:val="003909C4"/>
    <w:rsid w:val="00391F18"/>
    <w:rsid w:val="003A0438"/>
    <w:rsid w:val="003A152F"/>
    <w:rsid w:val="003B0B52"/>
    <w:rsid w:val="003E25A9"/>
    <w:rsid w:val="003E31A3"/>
    <w:rsid w:val="003F28D8"/>
    <w:rsid w:val="003F707F"/>
    <w:rsid w:val="004030EE"/>
    <w:rsid w:val="00412D0D"/>
    <w:rsid w:val="00414598"/>
    <w:rsid w:val="00420F13"/>
    <w:rsid w:val="004211F3"/>
    <w:rsid w:val="00440F21"/>
    <w:rsid w:val="0044489F"/>
    <w:rsid w:val="004518E4"/>
    <w:rsid w:val="00454B2B"/>
    <w:rsid w:val="00454B78"/>
    <w:rsid w:val="0046690C"/>
    <w:rsid w:val="00467071"/>
    <w:rsid w:val="00467ADB"/>
    <w:rsid w:val="00482AB8"/>
    <w:rsid w:val="00484146"/>
    <w:rsid w:val="00487E88"/>
    <w:rsid w:val="004A1AA9"/>
    <w:rsid w:val="004B48D8"/>
    <w:rsid w:val="004C183E"/>
    <w:rsid w:val="004C691A"/>
    <w:rsid w:val="004E1314"/>
    <w:rsid w:val="004E13D1"/>
    <w:rsid w:val="004F4C3A"/>
    <w:rsid w:val="00505841"/>
    <w:rsid w:val="00507C9C"/>
    <w:rsid w:val="00517B1B"/>
    <w:rsid w:val="00525462"/>
    <w:rsid w:val="00530138"/>
    <w:rsid w:val="00557520"/>
    <w:rsid w:val="00572C1A"/>
    <w:rsid w:val="005975E3"/>
    <w:rsid w:val="005B1BE6"/>
    <w:rsid w:val="005C38C1"/>
    <w:rsid w:val="005D0D20"/>
    <w:rsid w:val="005E0304"/>
    <w:rsid w:val="005E0DD5"/>
    <w:rsid w:val="005E40C0"/>
    <w:rsid w:val="005F0BB9"/>
    <w:rsid w:val="00607030"/>
    <w:rsid w:val="00621FAB"/>
    <w:rsid w:val="0062304F"/>
    <w:rsid w:val="00632A61"/>
    <w:rsid w:val="00640E62"/>
    <w:rsid w:val="00652E59"/>
    <w:rsid w:val="00664FF5"/>
    <w:rsid w:val="006812FE"/>
    <w:rsid w:val="0068454C"/>
    <w:rsid w:val="00686076"/>
    <w:rsid w:val="0068686F"/>
    <w:rsid w:val="00690DEF"/>
    <w:rsid w:val="00692F6A"/>
    <w:rsid w:val="00695524"/>
    <w:rsid w:val="006A3165"/>
    <w:rsid w:val="006B3263"/>
    <w:rsid w:val="006B7196"/>
    <w:rsid w:val="006C2751"/>
    <w:rsid w:val="006C6CB2"/>
    <w:rsid w:val="006D2A02"/>
    <w:rsid w:val="006D2A81"/>
    <w:rsid w:val="006E0C38"/>
    <w:rsid w:val="006E4256"/>
    <w:rsid w:val="006F5CBF"/>
    <w:rsid w:val="007043E2"/>
    <w:rsid w:val="00707C89"/>
    <w:rsid w:val="007123D6"/>
    <w:rsid w:val="007131F7"/>
    <w:rsid w:val="00721748"/>
    <w:rsid w:val="00721CEA"/>
    <w:rsid w:val="00721FDC"/>
    <w:rsid w:val="00730AFA"/>
    <w:rsid w:val="00731252"/>
    <w:rsid w:val="0073238E"/>
    <w:rsid w:val="007348D1"/>
    <w:rsid w:val="00742F34"/>
    <w:rsid w:val="00746CF0"/>
    <w:rsid w:val="007515C0"/>
    <w:rsid w:val="0075315C"/>
    <w:rsid w:val="00755D77"/>
    <w:rsid w:val="00756DA8"/>
    <w:rsid w:val="007708F3"/>
    <w:rsid w:val="007B4E0A"/>
    <w:rsid w:val="007D200F"/>
    <w:rsid w:val="007D7A2F"/>
    <w:rsid w:val="007E046D"/>
    <w:rsid w:val="007E65DA"/>
    <w:rsid w:val="00806077"/>
    <w:rsid w:val="00820A3D"/>
    <w:rsid w:val="0082518D"/>
    <w:rsid w:val="008270E3"/>
    <w:rsid w:val="0083261E"/>
    <w:rsid w:val="00832CDF"/>
    <w:rsid w:val="00843056"/>
    <w:rsid w:val="0085137A"/>
    <w:rsid w:val="00854B6B"/>
    <w:rsid w:val="008551E1"/>
    <w:rsid w:val="00857DAF"/>
    <w:rsid w:val="00866526"/>
    <w:rsid w:val="00886362"/>
    <w:rsid w:val="00887459"/>
    <w:rsid w:val="008A0ED1"/>
    <w:rsid w:val="008A2F6B"/>
    <w:rsid w:val="008A3462"/>
    <w:rsid w:val="008A7A9C"/>
    <w:rsid w:val="008B3F38"/>
    <w:rsid w:val="008D0AE0"/>
    <w:rsid w:val="008D61BB"/>
    <w:rsid w:val="008F503A"/>
    <w:rsid w:val="008F7D18"/>
    <w:rsid w:val="00904AA2"/>
    <w:rsid w:val="0093198A"/>
    <w:rsid w:val="009358C2"/>
    <w:rsid w:val="00943EB5"/>
    <w:rsid w:val="00944643"/>
    <w:rsid w:val="00970861"/>
    <w:rsid w:val="0097333F"/>
    <w:rsid w:val="00975444"/>
    <w:rsid w:val="00975A58"/>
    <w:rsid w:val="0098195A"/>
    <w:rsid w:val="00987EC1"/>
    <w:rsid w:val="009B1FD7"/>
    <w:rsid w:val="009B2CB7"/>
    <w:rsid w:val="009C0595"/>
    <w:rsid w:val="009D5856"/>
    <w:rsid w:val="009D76A9"/>
    <w:rsid w:val="009D7A84"/>
    <w:rsid w:val="009E43F7"/>
    <w:rsid w:val="009F0F18"/>
    <w:rsid w:val="00A057B6"/>
    <w:rsid w:val="00A05C2E"/>
    <w:rsid w:val="00A101D2"/>
    <w:rsid w:val="00A10EAE"/>
    <w:rsid w:val="00A1309C"/>
    <w:rsid w:val="00A245A5"/>
    <w:rsid w:val="00A24FCC"/>
    <w:rsid w:val="00A26B8B"/>
    <w:rsid w:val="00A32C37"/>
    <w:rsid w:val="00A360A4"/>
    <w:rsid w:val="00A41EC9"/>
    <w:rsid w:val="00A53C22"/>
    <w:rsid w:val="00A54179"/>
    <w:rsid w:val="00A60973"/>
    <w:rsid w:val="00A82264"/>
    <w:rsid w:val="00A838F9"/>
    <w:rsid w:val="00A8447F"/>
    <w:rsid w:val="00A8496D"/>
    <w:rsid w:val="00A92DC6"/>
    <w:rsid w:val="00A94B57"/>
    <w:rsid w:val="00AA113D"/>
    <w:rsid w:val="00AA2CEE"/>
    <w:rsid w:val="00AA3297"/>
    <w:rsid w:val="00AA6699"/>
    <w:rsid w:val="00AB45D3"/>
    <w:rsid w:val="00AB6035"/>
    <w:rsid w:val="00AC06F4"/>
    <w:rsid w:val="00AD3D9E"/>
    <w:rsid w:val="00AE21F3"/>
    <w:rsid w:val="00AE2D8B"/>
    <w:rsid w:val="00B07800"/>
    <w:rsid w:val="00B1265F"/>
    <w:rsid w:val="00B14682"/>
    <w:rsid w:val="00B37180"/>
    <w:rsid w:val="00B42091"/>
    <w:rsid w:val="00B504B2"/>
    <w:rsid w:val="00B51693"/>
    <w:rsid w:val="00B55CFB"/>
    <w:rsid w:val="00B63202"/>
    <w:rsid w:val="00B7259D"/>
    <w:rsid w:val="00B747A4"/>
    <w:rsid w:val="00B75FA9"/>
    <w:rsid w:val="00B8116D"/>
    <w:rsid w:val="00B8185C"/>
    <w:rsid w:val="00B8676F"/>
    <w:rsid w:val="00B9401B"/>
    <w:rsid w:val="00B96EEA"/>
    <w:rsid w:val="00BB2E66"/>
    <w:rsid w:val="00BB535B"/>
    <w:rsid w:val="00BC2624"/>
    <w:rsid w:val="00BD0298"/>
    <w:rsid w:val="00BD3004"/>
    <w:rsid w:val="00BE7841"/>
    <w:rsid w:val="00BE7D71"/>
    <w:rsid w:val="00BF245C"/>
    <w:rsid w:val="00C00F5A"/>
    <w:rsid w:val="00C04A28"/>
    <w:rsid w:val="00C05D8D"/>
    <w:rsid w:val="00C36D94"/>
    <w:rsid w:val="00C4108F"/>
    <w:rsid w:val="00C436FB"/>
    <w:rsid w:val="00C5082B"/>
    <w:rsid w:val="00C5540F"/>
    <w:rsid w:val="00C6735B"/>
    <w:rsid w:val="00C72170"/>
    <w:rsid w:val="00C7539E"/>
    <w:rsid w:val="00C765D0"/>
    <w:rsid w:val="00C7667D"/>
    <w:rsid w:val="00C93F0D"/>
    <w:rsid w:val="00CB105B"/>
    <w:rsid w:val="00CB639B"/>
    <w:rsid w:val="00CB7BBF"/>
    <w:rsid w:val="00CC2F0B"/>
    <w:rsid w:val="00CC6110"/>
    <w:rsid w:val="00CC682F"/>
    <w:rsid w:val="00CC7DD9"/>
    <w:rsid w:val="00CE55E5"/>
    <w:rsid w:val="00CF32A1"/>
    <w:rsid w:val="00CF49D7"/>
    <w:rsid w:val="00CF62D1"/>
    <w:rsid w:val="00D024C4"/>
    <w:rsid w:val="00D055AA"/>
    <w:rsid w:val="00D05B28"/>
    <w:rsid w:val="00D05E8F"/>
    <w:rsid w:val="00D1166A"/>
    <w:rsid w:val="00D1173B"/>
    <w:rsid w:val="00D202DE"/>
    <w:rsid w:val="00D23391"/>
    <w:rsid w:val="00D364BE"/>
    <w:rsid w:val="00D37FF7"/>
    <w:rsid w:val="00D41078"/>
    <w:rsid w:val="00D430EE"/>
    <w:rsid w:val="00D5225B"/>
    <w:rsid w:val="00D63EF8"/>
    <w:rsid w:val="00D64E43"/>
    <w:rsid w:val="00D80309"/>
    <w:rsid w:val="00D91947"/>
    <w:rsid w:val="00DC2C3A"/>
    <w:rsid w:val="00DC5922"/>
    <w:rsid w:val="00DD54B8"/>
    <w:rsid w:val="00DD6242"/>
    <w:rsid w:val="00DE4816"/>
    <w:rsid w:val="00DE4BC5"/>
    <w:rsid w:val="00E0203B"/>
    <w:rsid w:val="00E02C6E"/>
    <w:rsid w:val="00E0785E"/>
    <w:rsid w:val="00E1553D"/>
    <w:rsid w:val="00E2396F"/>
    <w:rsid w:val="00E31A3B"/>
    <w:rsid w:val="00E33C8E"/>
    <w:rsid w:val="00E362AF"/>
    <w:rsid w:val="00E4190D"/>
    <w:rsid w:val="00E5107E"/>
    <w:rsid w:val="00E5210F"/>
    <w:rsid w:val="00E56E90"/>
    <w:rsid w:val="00E57966"/>
    <w:rsid w:val="00E61CE0"/>
    <w:rsid w:val="00E62A9B"/>
    <w:rsid w:val="00E706E2"/>
    <w:rsid w:val="00E8668B"/>
    <w:rsid w:val="00EA3FD8"/>
    <w:rsid w:val="00EB0671"/>
    <w:rsid w:val="00EB34B5"/>
    <w:rsid w:val="00EB5574"/>
    <w:rsid w:val="00EC6EB7"/>
    <w:rsid w:val="00ED1B18"/>
    <w:rsid w:val="00ED35BD"/>
    <w:rsid w:val="00ED42E8"/>
    <w:rsid w:val="00ED75F6"/>
    <w:rsid w:val="00ED7D6E"/>
    <w:rsid w:val="00EE03F0"/>
    <w:rsid w:val="00EE2A4F"/>
    <w:rsid w:val="00EF642D"/>
    <w:rsid w:val="00F10594"/>
    <w:rsid w:val="00F14B80"/>
    <w:rsid w:val="00F2030D"/>
    <w:rsid w:val="00F30752"/>
    <w:rsid w:val="00F44502"/>
    <w:rsid w:val="00F73928"/>
    <w:rsid w:val="00F83C21"/>
    <w:rsid w:val="00F86435"/>
    <w:rsid w:val="00F924BA"/>
    <w:rsid w:val="00FA055C"/>
    <w:rsid w:val="00FD6F72"/>
    <w:rsid w:val="00FD73BD"/>
    <w:rsid w:val="00FE0F0F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C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6C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CF0"/>
  </w:style>
  <w:style w:type="paragraph" w:styleId="NormalWeb">
    <w:name w:val="Normal (Web)"/>
    <w:basedOn w:val="Normal"/>
    <w:uiPriority w:val="99"/>
    <w:unhideWhenUsed/>
    <w:rsid w:val="00746C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C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CF0"/>
    <w:rPr>
      <w:rFonts w:ascii="Lucida Grande" w:hAnsi="Lucida Grande" w:cs="Lucida Grande"/>
      <w:sz w:val="18"/>
      <w:szCs w:val="18"/>
    </w:rPr>
  </w:style>
  <w:style w:type="character" w:styleId="Accentuation">
    <w:name w:val="Emphasis"/>
    <w:basedOn w:val="Policepardfaut"/>
    <w:uiPriority w:val="20"/>
    <w:qFormat/>
    <w:rsid w:val="00440F21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C00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F5A"/>
  </w:style>
  <w:style w:type="character" w:styleId="Numrodepage">
    <w:name w:val="page number"/>
    <w:basedOn w:val="Policepardfaut"/>
    <w:uiPriority w:val="99"/>
    <w:semiHidden/>
    <w:unhideWhenUsed/>
    <w:rsid w:val="000D5D7B"/>
  </w:style>
  <w:style w:type="paragraph" w:styleId="Paragraphedeliste">
    <w:name w:val="List Paragraph"/>
    <w:basedOn w:val="Normal"/>
    <w:uiPriority w:val="34"/>
    <w:qFormat/>
    <w:rsid w:val="002023C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7B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7B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7B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7B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7B1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5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5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5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6C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CF0"/>
  </w:style>
  <w:style w:type="paragraph" w:styleId="NormalWeb">
    <w:name w:val="Normal (Web)"/>
    <w:basedOn w:val="Normal"/>
    <w:uiPriority w:val="99"/>
    <w:unhideWhenUsed/>
    <w:rsid w:val="00746C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C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CF0"/>
    <w:rPr>
      <w:rFonts w:ascii="Lucida Grande" w:hAnsi="Lucida Grande" w:cs="Lucida Grande"/>
      <w:sz w:val="18"/>
      <w:szCs w:val="18"/>
    </w:rPr>
  </w:style>
  <w:style w:type="character" w:styleId="Accentuation">
    <w:name w:val="Emphasis"/>
    <w:basedOn w:val="Policepardfaut"/>
    <w:uiPriority w:val="20"/>
    <w:qFormat/>
    <w:rsid w:val="00440F21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C00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F5A"/>
  </w:style>
  <w:style w:type="character" w:styleId="Numrodepage">
    <w:name w:val="page number"/>
    <w:basedOn w:val="Policepardfaut"/>
    <w:uiPriority w:val="99"/>
    <w:semiHidden/>
    <w:unhideWhenUsed/>
    <w:rsid w:val="000D5D7B"/>
  </w:style>
  <w:style w:type="paragraph" w:styleId="Paragraphedeliste">
    <w:name w:val="List Paragraph"/>
    <w:basedOn w:val="Normal"/>
    <w:uiPriority w:val="34"/>
    <w:qFormat/>
    <w:rsid w:val="002023C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17B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7B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7B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7B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7B1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5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5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135DF-D015-4BD4-9EA8-645C62D1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IP</dc:creator>
  <cp:lastModifiedBy>aureliep</cp:lastModifiedBy>
  <cp:revision>4</cp:revision>
  <cp:lastPrinted>2017-09-12T12:06:00Z</cp:lastPrinted>
  <dcterms:created xsi:type="dcterms:W3CDTF">2017-09-25T12:11:00Z</dcterms:created>
  <dcterms:modified xsi:type="dcterms:W3CDTF">2017-09-25T12:14:00Z</dcterms:modified>
</cp:coreProperties>
</file>