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34" w:rsidRDefault="00DB5934" w:rsidP="00706205">
      <w:pPr>
        <w:spacing w:after="0"/>
        <w:ind w:firstLine="567"/>
        <w:jc w:val="center"/>
        <w:rPr>
          <w:rFonts w:ascii="Arial" w:hAnsi="Arial" w:cs="Arial"/>
          <w:b/>
        </w:rPr>
      </w:pPr>
    </w:p>
    <w:p w:rsidR="00DB5934" w:rsidRDefault="00DB5934" w:rsidP="00706205">
      <w:pPr>
        <w:spacing w:after="0"/>
        <w:ind w:firstLine="567"/>
        <w:jc w:val="center"/>
        <w:rPr>
          <w:rFonts w:ascii="Arial" w:hAnsi="Arial" w:cs="Arial"/>
          <w:i/>
          <w:sz w:val="20"/>
        </w:rPr>
      </w:pPr>
      <w:r w:rsidRPr="00DB5934">
        <w:rPr>
          <w:rFonts w:ascii="Arial" w:hAnsi="Arial" w:cs="Arial"/>
          <w:i/>
          <w:sz w:val="20"/>
        </w:rPr>
        <w:t xml:space="preserve">Communiqué de presse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DB5934">
        <w:rPr>
          <w:rFonts w:ascii="Arial" w:hAnsi="Arial" w:cs="Arial"/>
          <w:i/>
          <w:sz w:val="20"/>
        </w:rPr>
        <w:tab/>
      </w:r>
      <w:r w:rsidRPr="00DB5934">
        <w:rPr>
          <w:rFonts w:ascii="Arial" w:hAnsi="Arial" w:cs="Arial"/>
          <w:i/>
          <w:sz w:val="20"/>
        </w:rPr>
        <w:tab/>
      </w:r>
      <w:r w:rsidRPr="00DB5934">
        <w:rPr>
          <w:rFonts w:ascii="Arial" w:hAnsi="Arial" w:cs="Arial"/>
          <w:i/>
          <w:sz w:val="20"/>
        </w:rPr>
        <w:tab/>
      </w:r>
      <w:r w:rsidRPr="00DB5934">
        <w:rPr>
          <w:rFonts w:ascii="Arial" w:hAnsi="Arial" w:cs="Arial"/>
          <w:i/>
          <w:sz w:val="20"/>
        </w:rPr>
        <w:tab/>
        <w:t xml:space="preserve">Paris, le </w:t>
      </w:r>
      <w:r w:rsidR="00C92D94">
        <w:rPr>
          <w:rFonts w:ascii="Arial" w:hAnsi="Arial" w:cs="Arial"/>
          <w:i/>
          <w:sz w:val="20"/>
        </w:rPr>
        <w:t>10</w:t>
      </w:r>
      <w:r w:rsidRPr="00DB5934">
        <w:rPr>
          <w:rFonts w:ascii="Arial" w:hAnsi="Arial" w:cs="Arial"/>
          <w:i/>
          <w:sz w:val="20"/>
        </w:rPr>
        <w:t>/09/2018</w:t>
      </w:r>
    </w:p>
    <w:p w:rsidR="00DB5934" w:rsidRPr="00DB5934" w:rsidRDefault="00DB5934" w:rsidP="00706205">
      <w:pPr>
        <w:spacing w:after="0"/>
        <w:ind w:firstLine="567"/>
        <w:jc w:val="center"/>
        <w:rPr>
          <w:rFonts w:ascii="Arial" w:hAnsi="Arial" w:cs="Arial"/>
          <w:i/>
          <w:sz w:val="20"/>
        </w:rPr>
      </w:pPr>
    </w:p>
    <w:p w:rsidR="00D62DAF" w:rsidRPr="00706205" w:rsidRDefault="00B851AC" w:rsidP="00706205">
      <w:pPr>
        <w:spacing w:after="0"/>
        <w:ind w:firstLine="567"/>
        <w:jc w:val="center"/>
        <w:rPr>
          <w:rFonts w:ascii="Arial" w:hAnsi="Arial" w:cs="Arial"/>
          <w:b/>
        </w:rPr>
      </w:pPr>
      <w:bookmarkStart w:id="0" w:name="_GoBack"/>
      <w:r w:rsidRPr="00706205">
        <w:rPr>
          <w:rFonts w:ascii="Arial" w:hAnsi="Arial" w:cs="Arial"/>
          <w:b/>
        </w:rPr>
        <w:t>LES CANCERS DE L’ŒSOPHAGE ONT ETE MULTIPLIES PAR 7 DEPUIS 1998, SELON UNE ETUDE MENEE PAR L’ASSOCIATION FRANÇAISE DE CHIRURGIE</w:t>
      </w:r>
    </w:p>
    <w:bookmarkEnd w:id="0"/>
    <w:p w:rsidR="00706205" w:rsidRDefault="00706205" w:rsidP="00706205">
      <w:pPr>
        <w:spacing w:after="0"/>
        <w:ind w:firstLine="567"/>
        <w:jc w:val="both"/>
        <w:rPr>
          <w:rFonts w:ascii="Arial" w:hAnsi="Arial" w:cs="Arial"/>
          <w:b/>
          <w:color w:val="0D0D0D" w:themeColor="text1" w:themeTint="F2"/>
        </w:rPr>
      </w:pPr>
    </w:p>
    <w:p w:rsidR="00116E39" w:rsidRPr="00706205" w:rsidRDefault="00B851AC" w:rsidP="00706205">
      <w:pPr>
        <w:spacing w:after="0"/>
        <w:ind w:firstLine="567"/>
        <w:jc w:val="both"/>
        <w:rPr>
          <w:rFonts w:ascii="Arial" w:hAnsi="Arial" w:cs="Arial"/>
          <w:color w:val="0D0D0D" w:themeColor="text1" w:themeTint="F2"/>
        </w:rPr>
      </w:pPr>
      <w:r w:rsidRPr="00706205">
        <w:rPr>
          <w:rFonts w:ascii="Arial" w:hAnsi="Arial" w:cs="Arial"/>
          <w:b/>
          <w:color w:val="0D0D0D" w:themeColor="text1" w:themeTint="F2"/>
        </w:rPr>
        <w:t xml:space="preserve">Une étude de l’AFC, qui tient son congrès du 19 au 21 septembre à Paris, </w:t>
      </w:r>
      <w:r w:rsidR="00D62DAF" w:rsidRPr="00706205">
        <w:rPr>
          <w:rFonts w:ascii="Arial" w:hAnsi="Arial" w:cs="Arial"/>
          <w:b/>
          <w:color w:val="0D0D0D" w:themeColor="text1" w:themeTint="F2"/>
        </w:rPr>
        <w:t xml:space="preserve">menée par les chirurgiens Denis Collet et Caroline </w:t>
      </w:r>
      <w:proofErr w:type="spellStart"/>
      <w:r w:rsidR="00D62DAF" w:rsidRPr="00706205">
        <w:rPr>
          <w:rFonts w:ascii="Arial" w:hAnsi="Arial" w:cs="Arial"/>
          <w:b/>
          <w:color w:val="0D0D0D" w:themeColor="text1" w:themeTint="F2"/>
        </w:rPr>
        <w:t>Gronnier</w:t>
      </w:r>
      <w:proofErr w:type="spellEnd"/>
      <w:r w:rsidRPr="00706205">
        <w:rPr>
          <w:rFonts w:ascii="Arial" w:hAnsi="Arial" w:cs="Arial"/>
          <w:b/>
          <w:color w:val="0D0D0D" w:themeColor="text1" w:themeTint="F2"/>
        </w:rPr>
        <w:t xml:space="preserve"> (Hôpitaux de Bordeaux) révèle que </w:t>
      </w:r>
      <w:r w:rsidR="00D62DAF" w:rsidRPr="00706205">
        <w:rPr>
          <w:rFonts w:ascii="Arial" w:hAnsi="Arial" w:cs="Arial"/>
          <w:b/>
          <w:color w:val="0D0D0D" w:themeColor="text1" w:themeTint="F2"/>
        </w:rPr>
        <w:t>les cancers de l’œsophage, situés à la jonction oeso gastrique ont été multipliés par 7 depuis 1998. En cause, l’</w:t>
      </w:r>
      <w:r w:rsidRPr="00706205">
        <w:rPr>
          <w:rFonts w:ascii="Arial" w:hAnsi="Arial" w:cs="Arial"/>
          <w:b/>
          <w:color w:val="0D0D0D" w:themeColor="text1" w:themeTint="F2"/>
        </w:rPr>
        <w:t>obésité et le reflux gastro-o</w:t>
      </w:r>
      <w:r w:rsidR="000525BD">
        <w:rPr>
          <w:rFonts w:ascii="Arial" w:hAnsi="Arial" w:cs="Arial"/>
          <w:b/>
          <w:color w:val="0D0D0D" w:themeColor="text1" w:themeTint="F2"/>
        </w:rPr>
        <w:t>e</w:t>
      </w:r>
      <w:r w:rsidRPr="00706205">
        <w:rPr>
          <w:rFonts w:ascii="Arial" w:hAnsi="Arial" w:cs="Arial"/>
          <w:b/>
          <w:color w:val="0D0D0D" w:themeColor="text1" w:themeTint="F2"/>
        </w:rPr>
        <w:t>sophagien (RGO)</w:t>
      </w:r>
      <w:r w:rsidR="00D62DAF" w:rsidRPr="00706205">
        <w:rPr>
          <w:rFonts w:ascii="Arial" w:hAnsi="Arial" w:cs="Arial"/>
          <w:b/>
          <w:color w:val="0D0D0D" w:themeColor="text1" w:themeTint="F2"/>
        </w:rPr>
        <w:t>, les deux principaux facteurs du développement de ce cancer</w:t>
      </w:r>
      <w:r w:rsidR="00184F6D" w:rsidRPr="00706205">
        <w:rPr>
          <w:rFonts w:ascii="Arial" w:hAnsi="Arial" w:cs="Arial"/>
          <w:b/>
          <w:color w:val="0D0D0D" w:themeColor="text1" w:themeTint="F2"/>
        </w:rPr>
        <w:t>, dont l</w:t>
      </w:r>
      <w:r w:rsidR="005B0A62">
        <w:rPr>
          <w:rFonts w:ascii="Arial" w:hAnsi="Arial" w:cs="Arial"/>
          <w:b/>
          <w:color w:val="0D0D0D" w:themeColor="text1" w:themeTint="F2"/>
        </w:rPr>
        <w:t>a progression</w:t>
      </w:r>
      <w:r w:rsidR="00184F6D" w:rsidRPr="00706205">
        <w:rPr>
          <w:rFonts w:ascii="Arial" w:hAnsi="Arial" w:cs="Arial"/>
          <w:b/>
          <w:color w:val="0D0D0D" w:themeColor="text1" w:themeTint="F2"/>
        </w:rPr>
        <w:t xml:space="preserve"> est </w:t>
      </w:r>
      <w:r w:rsidR="00116E39" w:rsidRPr="00706205">
        <w:rPr>
          <w:rFonts w:ascii="Arial" w:hAnsi="Arial" w:cs="Arial"/>
          <w:b/>
          <w:color w:val="0D0D0D" w:themeColor="text1" w:themeTint="F2"/>
        </w:rPr>
        <w:t xml:space="preserve">plus importante </w:t>
      </w:r>
      <w:r w:rsidR="00184F6D" w:rsidRPr="00706205">
        <w:rPr>
          <w:rFonts w:ascii="Arial" w:hAnsi="Arial" w:cs="Arial"/>
          <w:b/>
          <w:color w:val="0D0D0D" w:themeColor="text1" w:themeTint="F2"/>
        </w:rPr>
        <w:t>que celles des</w:t>
      </w:r>
      <w:r w:rsidR="00116E39" w:rsidRPr="00706205">
        <w:rPr>
          <w:rFonts w:ascii="Arial" w:hAnsi="Arial" w:cs="Arial"/>
          <w:b/>
          <w:color w:val="0D0D0D" w:themeColor="text1" w:themeTint="F2"/>
        </w:rPr>
        <w:t xml:space="preserve"> cancers</w:t>
      </w:r>
      <w:r w:rsidR="00184F6D" w:rsidRPr="00706205">
        <w:rPr>
          <w:rFonts w:ascii="Arial" w:hAnsi="Arial" w:cs="Arial"/>
          <w:b/>
          <w:color w:val="0D0D0D" w:themeColor="text1" w:themeTint="F2"/>
        </w:rPr>
        <w:t xml:space="preserve"> viscéraux</w:t>
      </w:r>
      <w:r w:rsidR="00116E39" w:rsidRPr="00706205">
        <w:rPr>
          <w:rFonts w:ascii="Arial" w:hAnsi="Arial" w:cs="Arial"/>
          <w:b/>
          <w:color w:val="0D0D0D" w:themeColor="text1" w:themeTint="F2"/>
        </w:rPr>
        <w:t xml:space="preserve"> majeurs</w:t>
      </w:r>
      <w:r w:rsidR="00AD6572">
        <w:rPr>
          <w:rFonts w:ascii="Arial" w:hAnsi="Arial" w:cs="Arial"/>
          <w:b/>
          <w:color w:val="0D0D0D" w:themeColor="text1" w:themeTint="F2"/>
        </w:rPr>
        <w:t>, ainsi que des facteurs alimentaires mais dans une moindre mesure</w:t>
      </w:r>
      <w:r w:rsidR="00184F6D" w:rsidRPr="00706205">
        <w:rPr>
          <w:rFonts w:ascii="Arial" w:hAnsi="Arial" w:cs="Arial"/>
          <w:color w:val="0D0D0D" w:themeColor="text1" w:themeTint="F2"/>
        </w:rPr>
        <w:t>.</w:t>
      </w:r>
      <w:r w:rsidR="00AD6572">
        <w:rPr>
          <w:rFonts w:ascii="Arial" w:hAnsi="Arial" w:cs="Arial"/>
        </w:rPr>
        <w:t xml:space="preserve"> </w:t>
      </w:r>
      <w:r w:rsidR="00AD6572">
        <w:rPr>
          <w:rFonts w:ascii="Arial" w:hAnsi="Arial" w:cs="Arial"/>
          <w:b/>
        </w:rPr>
        <w:t>C</w:t>
      </w:r>
      <w:r w:rsidR="00AD6572" w:rsidRPr="00706205">
        <w:rPr>
          <w:rFonts w:ascii="Arial" w:hAnsi="Arial" w:cs="Arial"/>
          <w:b/>
        </w:rPr>
        <w:t>hez des patients obèses morbides souffrant d’un RGO, le risque de cancer est multiplié par 5</w:t>
      </w:r>
      <w:r w:rsidR="00DB5934">
        <w:rPr>
          <w:rFonts w:ascii="Arial" w:hAnsi="Arial" w:cs="Arial"/>
          <w:b/>
        </w:rPr>
        <w:t>.</w:t>
      </w:r>
    </w:p>
    <w:p w:rsidR="00B851AC" w:rsidRPr="00706205" w:rsidRDefault="00B851AC" w:rsidP="00706205">
      <w:pPr>
        <w:spacing w:after="0"/>
        <w:jc w:val="both"/>
        <w:rPr>
          <w:rFonts w:ascii="Arial" w:hAnsi="Arial" w:cs="Arial"/>
        </w:rPr>
      </w:pPr>
    </w:p>
    <w:p w:rsidR="00706205" w:rsidRDefault="00B851AC" w:rsidP="00706205">
      <w:pPr>
        <w:spacing w:after="0"/>
        <w:jc w:val="both"/>
        <w:rPr>
          <w:rFonts w:ascii="Arial" w:hAnsi="Arial" w:cs="Arial"/>
          <w:b/>
        </w:rPr>
      </w:pPr>
      <w:r w:rsidRPr="00706205">
        <w:rPr>
          <w:rFonts w:ascii="Arial" w:hAnsi="Arial" w:cs="Arial"/>
          <w:b/>
        </w:rPr>
        <w:t>Une progression continuelle du cancer de l’œsophage depuis 1998</w:t>
      </w:r>
    </w:p>
    <w:p w:rsidR="00AF1976" w:rsidRPr="00DB5934" w:rsidRDefault="00706205" w:rsidP="00DB593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116E39" w:rsidRPr="00706205">
        <w:rPr>
          <w:rFonts w:ascii="Arial" w:hAnsi="Arial" w:cs="Arial"/>
        </w:rPr>
        <w:t xml:space="preserve">e progression continuelle </w:t>
      </w:r>
      <w:r w:rsidR="00184F6D" w:rsidRPr="00706205">
        <w:rPr>
          <w:rFonts w:ascii="Arial" w:hAnsi="Arial" w:cs="Arial"/>
        </w:rPr>
        <w:t>du cancer de l’œsophage</w:t>
      </w:r>
      <w:r w:rsidR="005B0A62">
        <w:rPr>
          <w:rFonts w:ascii="Arial" w:hAnsi="Arial" w:cs="Arial"/>
        </w:rPr>
        <w:t xml:space="preserve">, </w:t>
      </w:r>
      <w:r w:rsidR="00E40705">
        <w:rPr>
          <w:rFonts w:ascii="Arial" w:hAnsi="Arial" w:cs="Arial"/>
        </w:rPr>
        <w:t xml:space="preserve">de l’ordre 5%, </w:t>
      </w:r>
      <w:r w:rsidR="003D7975">
        <w:rPr>
          <w:rFonts w:ascii="Arial" w:hAnsi="Arial" w:cs="Arial"/>
        </w:rPr>
        <w:t xml:space="preserve">est observée </w:t>
      </w:r>
      <w:r w:rsidR="00E40705">
        <w:rPr>
          <w:rFonts w:ascii="Arial" w:hAnsi="Arial" w:cs="Arial"/>
        </w:rPr>
        <w:t xml:space="preserve">depuis </w:t>
      </w:r>
      <w:r w:rsidR="00E40705" w:rsidRPr="00706205">
        <w:rPr>
          <w:rFonts w:ascii="Arial" w:hAnsi="Arial" w:cs="Arial"/>
        </w:rPr>
        <w:t>2010</w:t>
      </w:r>
      <w:r w:rsidR="003D7975">
        <w:rPr>
          <w:rFonts w:ascii="Arial" w:hAnsi="Arial" w:cs="Arial"/>
        </w:rPr>
        <w:t>.</w:t>
      </w:r>
      <w:r w:rsidR="00DB5934" w:rsidRPr="00DB5934">
        <w:rPr>
          <w:rFonts w:ascii="Calibri" w:eastAsia="Times New Roman" w:hAnsi="Calibri" w:cs="Arial"/>
          <w:color w:val="1F497D"/>
          <w:lang w:eastAsia="fr-FR"/>
        </w:rPr>
        <w:t xml:space="preserve"> </w:t>
      </w:r>
      <w:r w:rsidR="00DB5934" w:rsidRPr="00DB5934">
        <w:rPr>
          <w:rFonts w:ascii="Arial" w:hAnsi="Arial" w:cs="Arial"/>
        </w:rPr>
        <w:t xml:space="preserve">En 2017, </w:t>
      </w:r>
      <w:r w:rsidR="00DB5934">
        <w:rPr>
          <w:rFonts w:ascii="Arial" w:hAnsi="Arial" w:cs="Arial"/>
        </w:rPr>
        <w:t>on compte</w:t>
      </w:r>
      <w:r w:rsidR="00DB5934" w:rsidRPr="00DB5934">
        <w:rPr>
          <w:rFonts w:ascii="Arial" w:hAnsi="Arial" w:cs="Arial"/>
        </w:rPr>
        <w:t xml:space="preserve"> 4800 nouveaux cas de cancers de l’œsophage</w:t>
      </w:r>
      <w:r w:rsidR="00DB5934">
        <w:rPr>
          <w:rFonts w:ascii="Arial" w:hAnsi="Arial" w:cs="Arial"/>
        </w:rPr>
        <w:t xml:space="preserve"> en France</w:t>
      </w:r>
      <w:r w:rsidR="00DB5934" w:rsidRPr="00DB5934">
        <w:rPr>
          <w:rFonts w:ascii="Arial" w:hAnsi="Arial" w:cs="Arial"/>
        </w:rPr>
        <w:t>, toutes histologies confondues</w:t>
      </w:r>
      <w:r w:rsidR="00DB5934">
        <w:rPr>
          <w:rFonts w:ascii="Arial" w:hAnsi="Arial" w:cs="Arial"/>
        </w:rPr>
        <w:t xml:space="preserve">. </w:t>
      </w:r>
      <w:r w:rsidR="00E40705">
        <w:rPr>
          <w:rFonts w:ascii="Arial" w:hAnsi="Arial" w:cs="Arial"/>
        </w:rPr>
        <w:t xml:space="preserve">Ce groupe de tumeurs est assez hétérogène avec des progressions qui varient d’un sous-groupe à l’autre. </w:t>
      </w:r>
      <w:r w:rsidR="00E40705">
        <w:rPr>
          <w:rFonts w:ascii="Arial" w:hAnsi="Arial" w:cs="Arial"/>
          <w:b/>
        </w:rPr>
        <w:t xml:space="preserve">«Le nombre </w:t>
      </w:r>
      <w:r w:rsidR="00684967">
        <w:rPr>
          <w:rFonts w:ascii="Arial" w:hAnsi="Arial" w:cs="Arial"/>
          <w:b/>
        </w:rPr>
        <w:t xml:space="preserve">de ces cancer </w:t>
      </w:r>
      <w:r w:rsidR="00E40705">
        <w:rPr>
          <w:rFonts w:ascii="Arial" w:hAnsi="Arial" w:cs="Arial"/>
          <w:b/>
        </w:rPr>
        <w:t xml:space="preserve">augmente et </w:t>
      </w:r>
      <w:r w:rsidR="00684967">
        <w:rPr>
          <w:rFonts w:ascii="Arial" w:hAnsi="Arial" w:cs="Arial"/>
          <w:b/>
        </w:rPr>
        <w:t xml:space="preserve">ce </w:t>
      </w:r>
      <w:r w:rsidR="00E40705">
        <w:rPr>
          <w:rFonts w:ascii="Arial" w:hAnsi="Arial" w:cs="Arial"/>
          <w:b/>
        </w:rPr>
        <w:t xml:space="preserve">de façon plus rapide que les autres, le moindre </w:t>
      </w:r>
      <w:r w:rsidR="00684967">
        <w:rPr>
          <w:rFonts w:ascii="Arial" w:hAnsi="Arial" w:cs="Arial"/>
          <w:b/>
        </w:rPr>
        <w:t>symptôme</w:t>
      </w:r>
      <w:r w:rsidR="00E40705">
        <w:rPr>
          <w:rFonts w:ascii="Arial" w:hAnsi="Arial" w:cs="Arial"/>
          <w:b/>
        </w:rPr>
        <w:t xml:space="preserve"> d’alerte comme le reflux ou </w:t>
      </w:r>
      <w:r w:rsidR="00684967">
        <w:rPr>
          <w:rFonts w:ascii="Arial" w:hAnsi="Arial" w:cs="Arial"/>
          <w:b/>
        </w:rPr>
        <w:t>la plus petit gêne</w:t>
      </w:r>
      <w:r w:rsidR="00E40705">
        <w:rPr>
          <w:rFonts w:ascii="Arial" w:hAnsi="Arial" w:cs="Arial"/>
          <w:b/>
        </w:rPr>
        <w:t xml:space="preserve"> de la déglutition</w:t>
      </w:r>
      <w:r w:rsidR="003D7975">
        <w:rPr>
          <w:rFonts w:ascii="Arial" w:hAnsi="Arial" w:cs="Arial"/>
          <w:b/>
        </w:rPr>
        <w:t xml:space="preserve"> doit entraîner la réalisation d’une</w:t>
      </w:r>
      <w:r w:rsidR="00DB5934">
        <w:rPr>
          <w:rFonts w:ascii="Arial" w:hAnsi="Arial" w:cs="Arial"/>
          <w:b/>
        </w:rPr>
        <w:t xml:space="preserve"> </w:t>
      </w:r>
      <w:r w:rsidR="00684967">
        <w:rPr>
          <w:rFonts w:ascii="Arial" w:hAnsi="Arial" w:cs="Arial"/>
          <w:b/>
        </w:rPr>
        <w:t>endoscopie », alerte le Professeur Denis Collet</w:t>
      </w:r>
      <w:r w:rsidR="00DB5934">
        <w:rPr>
          <w:rFonts w:ascii="Arial" w:hAnsi="Arial" w:cs="Arial"/>
        </w:rPr>
        <w:t xml:space="preserve">. </w:t>
      </w:r>
      <w:r w:rsidR="00684967" w:rsidRPr="00706205">
        <w:rPr>
          <w:rFonts w:ascii="Arial" w:hAnsi="Arial" w:cs="Arial"/>
        </w:rPr>
        <w:t>Le traitement chirurgical est actuellement le seul moyen d’obtenir une guérison de la maladie.</w:t>
      </w:r>
      <w:r w:rsidR="00684967">
        <w:rPr>
          <w:rFonts w:ascii="Arial" w:hAnsi="Arial" w:cs="Arial"/>
        </w:rPr>
        <w:t xml:space="preserve"> Certaines formes précoces peuvent être traitées par endoscopie.</w:t>
      </w:r>
      <w:r w:rsidR="00684967" w:rsidRPr="00706205">
        <w:rPr>
          <w:rFonts w:ascii="Arial" w:hAnsi="Arial" w:cs="Arial"/>
        </w:rPr>
        <w:t xml:space="preserve"> La chirurgie mini-invasive est recommandée, elle s’inscrit dans le cadre d’un protocole de réhabilitation améliorée</w:t>
      </w:r>
      <w:r w:rsidR="003D7975">
        <w:rPr>
          <w:rFonts w:ascii="Arial" w:hAnsi="Arial" w:cs="Arial"/>
        </w:rPr>
        <w:t xml:space="preserve">, les formes très précoces peuvent </w:t>
      </w:r>
      <w:r w:rsidR="00DB5934">
        <w:rPr>
          <w:rFonts w:ascii="Arial" w:hAnsi="Arial" w:cs="Arial"/>
        </w:rPr>
        <w:t>être</w:t>
      </w:r>
      <w:r w:rsidR="003D7975">
        <w:rPr>
          <w:rFonts w:ascii="Arial" w:hAnsi="Arial" w:cs="Arial"/>
        </w:rPr>
        <w:t xml:space="preserve"> traitées par endoscopie, d’où l’intérêt d’un dépistage précoce</w:t>
      </w:r>
      <w:r w:rsidR="00684967">
        <w:rPr>
          <w:rFonts w:ascii="Arial" w:hAnsi="Arial" w:cs="Arial"/>
        </w:rPr>
        <w:t> », expl</w:t>
      </w:r>
      <w:r w:rsidR="00DB5934">
        <w:rPr>
          <w:rFonts w:ascii="Arial" w:hAnsi="Arial" w:cs="Arial"/>
        </w:rPr>
        <w:t>ique le professeur Denis Collet</w:t>
      </w:r>
    </w:p>
    <w:p w:rsidR="00AF1976" w:rsidRPr="00706205" w:rsidRDefault="00116E39" w:rsidP="00706205">
      <w:pPr>
        <w:spacing w:after="0"/>
        <w:jc w:val="both"/>
        <w:rPr>
          <w:rFonts w:ascii="Arial" w:hAnsi="Arial" w:cs="Arial"/>
          <w:b/>
        </w:rPr>
      </w:pPr>
      <w:r w:rsidRPr="00706205">
        <w:rPr>
          <w:rFonts w:ascii="Arial" w:hAnsi="Arial" w:cs="Arial"/>
          <w:b/>
        </w:rPr>
        <w:t>Les populations à risque</w:t>
      </w:r>
      <w:r w:rsidR="00184F6D" w:rsidRPr="00706205">
        <w:rPr>
          <w:rFonts w:ascii="Arial" w:hAnsi="Arial" w:cs="Arial"/>
          <w:b/>
        </w:rPr>
        <w:t> : les hommes, les + de 60 ans</w:t>
      </w:r>
    </w:p>
    <w:p w:rsidR="00AF1976" w:rsidRDefault="00184F6D" w:rsidP="00706205">
      <w:pPr>
        <w:spacing w:after="0"/>
        <w:jc w:val="both"/>
        <w:rPr>
          <w:rFonts w:ascii="Arial" w:hAnsi="Arial" w:cs="Arial"/>
        </w:rPr>
      </w:pPr>
      <w:r w:rsidRPr="00706205">
        <w:rPr>
          <w:rFonts w:ascii="Arial" w:hAnsi="Arial" w:cs="Arial"/>
        </w:rPr>
        <w:t>D</w:t>
      </w:r>
      <w:r w:rsidR="00AF1976" w:rsidRPr="00706205">
        <w:rPr>
          <w:rFonts w:ascii="Arial" w:hAnsi="Arial" w:cs="Arial"/>
        </w:rPr>
        <w:t>ans toutes les enquêtes épidémiologiques, l’incidence est nettement supérieur</w:t>
      </w:r>
      <w:r w:rsidR="00684967">
        <w:rPr>
          <w:rFonts w:ascii="Arial" w:hAnsi="Arial" w:cs="Arial"/>
        </w:rPr>
        <w:t>e</w:t>
      </w:r>
      <w:r w:rsidR="00AF1976" w:rsidRPr="00706205">
        <w:rPr>
          <w:rFonts w:ascii="Arial" w:hAnsi="Arial" w:cs="Arial"/>
        </w:rPr>
        <w:t xml:space="preserve"> chez les hommes que che</w:t>
      </w:r>
      <w:r w:rsidRPr="00706205">
        <w:rPr>
          <w:rFonts w:ascii="Arial" w:hAnsi="Arial" w:cs="Arial"/>
        </w:rPr>
        <w:t xml:space="preserve">z les femmes, le </w:t>
      </w:r>
      <w:proofErr w:type="spellStart"/>
      <w:r w:rsidRPr="00706205">
        <w:rPr>
          <w:rFonts w:ascii="Arial" w:hAnsi="Arial" w:cs="Arial"/>
        </w:rPr>
        <w:t>sex</w:t>
      </w:r>
      <w:proofErr w:type="spellEnd"/>
      <w:r w:rsidRPr="00706205">
        <w:rPr>
          <w:rFonts w:ascii="Arial" w:hAnsi="Arial" w:cs="Arial"/>
        </w:rPr>
        <w:t xml:space="preserve"> ratio est </w:t>
      </w:r>
      <w:r w:rsidR="00AF1976" w:rsidRPr="00706205">
        <w:rPr>
          <w:rFonts w:ascii="Arial" w:hAnsi="Arial" w:cs="Arial"/>
        </w:rPr>
        <w:t>compris entre 3</w:t>
      </w:r>
      <w:r w:rsidR="00684967">
        <w:rPr>
          <w:rFonts w:ascii="Arial" w:hAnsi="Arial" w:cs="Arial"/>
        </w:rPr>
        <w:t xml:space="preserve"> (3 hommes pour 1 femme concernée)</w:t>
      </w:r>
      <w:r w:rsidR="00AF1976" w:rsidRPr="00706205">
        <w:rPr>
          <w:rFonts w:ascii="Arial" w:hAnsi="Arial" w:cs="Arial"/>
        </w:rPr>
        <w:t xml:space="preserve"> et 6</w:t>
      </w:r>
      <w:r w:rsidR="00684967">
        <w:rPr>
          <w:rFonts w:ascii="Arial" w:hAnsi="Arial" w:cs="Arial"/>
        </w:rPr>
        <w:t xml:space="preserve"> hommes pour 1 femme.</w:t>
      </w:r>
      <w:r w:rsidR="003D7975">
        <w:rPr>
          <w:rFonts w:ascii="Arial" w:hAnsi="Arial" w:cs="Arial"/>
        </w:rPr>
        <w:t xml:space="preserve"> L</w:t>
      </w:r>
      <w:r w:rsidR="00AF1976" w:rsidRPr="00706205">
        <w:rPr>
          <w:rFonts w:ascii="Arial" w:hAnsi="Arial" w:cs="Arial"/>
        </w:rPr>
        <w:t>e risque augmente significativement après l’âge de 60 ans dans les deux sexes</w:t>
      </w:r>
      <w:r w:rsidR="00DB5934">
        <w:rPr>
          <w:rFonts w:ascii="Arial" w:hAnsi="Arial" w:cs="Arial"/>
        </w:rPr>
        <w:t xml:space="preserve"> </w:t>
      </w:r>
      <w:r w:rsidR="00AF1976" w:rsidRPr="00706205">
        <w:rPr>
          <w:rFonts w:ascii="Arial" w:hAnsi="Arial" w:cs="Arial"/>
        </w:rPr>
        <w:t xml:space="preserve">avec un pic </w:t>
      </w:r>
      <w:r w:rsidR="00684967">
        <w:rPr>
          <w:rFonts w:ascii="Arial" w:hAnsi="Arial" w:cs="Arial"/>
        </w:rPr>
        <w:t>de fréquence entre 55 et 65 ans</w:t>
      </w:r>
      <w:r w:rsidR="00D455D0">
        <w:rPr>
          <w:rFonts w:ascii="Arial" w:hAnsi="Arial" w:cs="Arial"/>
        </w:rPr>
        <w:t xml:space="preserve"> (selon deux études scandinaves et américaines en 2006 et 2016).</w:t>
      </w:r>
    </w:p>
    <w:p w:rsidR="00706205" w:rsidRPr="00706205" w:rsidRDefault="00706205" w:rsidP="00706205">
      <w:pPr>
        <w:spacing w:after="0"/>
        <w:jc w:val="both"/>
        <w:rPr>
          <w:rFonts w:ascii="Arial" w:hAnsi="Arial" w:cs="Arial"/>
        </w:rPr>
      </w:pPr>
    </w:p>
    <w:p w:rsidR="00706205" w:rsidRDefault="00116E39" w:rsidP="00706205">
      <w:pPr>
        <w:spacing w:after="0"/>
        <w:jc w:val="both"/>
        <w:rPr>
          <w:rFonts w:ascii="Arial" w:hAnsi="Arial" w:cs="Arial"/>
          <w:b/>
        </w:rPr>
      </w:pPr>
      <w:r w:rsidRPr="00706205">
        <w:rPr>
          <w:rFonts w:ascii="Arial" w:hAnsi="Arial" w:cs="Arial"/>
          <w:b/>
        </w:rPr>
        <w:t xml:space="preserve">Deux </w:t>
      </w:r>
      <w:r w:rsidR="00184F6D" w:rsidRPr="00706205">
        <w:rPr>
          <w:rFonts w:ascii="Arial" w:hAnsi="Arial" w:cs="Arial"/>
          <w:b/>
        </w:rPr>
        <w:t>facteurs de risque principaux</w:t>
      </w:r>
      <w:r w:rsidR="00706205">
        <w:rPr>
          <w:rFonts w:ascii="Arial" w:hAnsi="Arial" w:cs="Arial"/>
          <w:b/>
        </w:rPr>
        <w:t> : le RGO et l’obésité</w:t>
      </w:r>
    </w:p>
    <w:p w:rsidR="00DB5934" w:rsidRDefault="00AF1976" w:rsidP="00706205">
      <w:pPr>
        <w:spacing w:after="0"/>
        <w:jc w:val="both"/>
        <w:rPr>
          <w:rFonts w:ascii="Arial" w:hAnsi="Arial" w:cs="Arial"/>
        </w:rPr>
      </w:pPr>
      <w:r w:rsidRPr="00706205">
        <w:rPr>
          <w:rFonts w:ascii="Arial" w:hAnsi="Arial" w:cs="Arial"/>
          <w:b/>
        </w:rPr>
        <w:t>Le Reflux Gastro Œsophagien (RGO)</w:t>
      </w:r>
      <w:r w:rsidRPr="00706205">
        <w:rPr>
          <w:rFonts w:ascii="Arial" w:hAnsi="Arial" w:cs="Arial"/>
        </w:rPr>
        <w:t xml:space="preserve"> est </w:t>
      </w:r>
      <w:r w:rsidR="00D455D0">
        <w:rPr>
          <w:rFonts w:ascii="Arial" w:hAnsi="Arial" w:cs="Arial"/>
        </w:rPr>
        <w:t>le premier facteur</w:t>
      </w:r>
      <w:r w:rsidRPr="00706205">
        <w:rPr>
          <w:rFonts w:ascii="Arial" w:hAnsi="Arial" w:cs="Arial"/>
        </w:rPr>
        <w:t xml:space="preserve"> de risque, avec un odd ratio compris entre </w:t>
      </w:r>
      <w:r w:rsidR="00AD6572">
        <w:rPr>
          <w:rFonts w:ascii="Arial" w:hAnsi="Arial" w:cs="Arial"/>
        </w:rPr>
        <w:t xml:space="preserve">1 contre </w:t>
      </w:r>
      <w:r w:rsidRPr="00706205">
        <w:rPr>
          <w:rFonts w:ascii="Arial" w:hAnsi="Arial" w:cs="Arial"/>
        </w:rPr>
        <w:t xml:space="preserve">2 </w:t>
      </w:r>
      <w:r w:rsidR="00AD6572">
        <w:rPr>
          <w:rFonts w:ascii="Arial" w:hAnsi="Arial" w:cs="Arial"/>
        </w:rPr>
        <w:t>ou 1 contre</w:t>
      </w:r>
      <w:r w:rsidRPr="00706205">
        <w:rPr>
          <w:rFonts w:ascii="Arial" w:hAnsi="Arial" w:cs="Arial"/>
        </w:rPr>
        <w:t xml:space="preserve"> 13.</w:t>
      </w:r>
      <w:r w:rsidR="00D455D0">
        <w:rPr>
          <w:rFonts w:ascii="Arial" w:hAnsi="Arial" w:cs="Arial"/>
        </w:rPr>
        <w:t xml:space="preserve"> « Mais attention, le reflux n’est pas toujours apparent » précise Denis Collet, </w:t>
      </w:r>
      <w:r w:rsidR="00DB5934">
        <w:rPr>
          <w:rFonts w:ascii="Arial" w:hAnsi="Arial" w:cs="Arial"/>
        </w:rPr>
        <w:t>« </w:t>
      </w:r>
      <w:r w:rsidR="00D455D0">
        <w:rPr>
          <w:rFonts w:ascii="Arial" w:hAnsi="Arial" w:cs="Arial"/>
        </w:rPr>
        <w:t>d’où l’importance de l’exploration endoscopique ».</w:t>
      </w:r>
      <w:r w:rsidRPr="00706205">
        <w:rPr>
          <w:rFonts w:ascii="Arial" w:hAnsi="Arial" w:cs="Arial"/>
        </w:rPr>
        <w:t xml:space="preserve"> </w:t>
      </w:r>
      <w:r w:rsidR="00AD6572">
        <w:rPr>
          <w:rFonts w:ascii="Arial" w:hAnsi="Arial" w:cs="Arial"/>
        </w:rPr>
        <w:t>E</w:t>
      </w:r>
      <w:r w:rsidR="00D455D0">
        <w:rPr>
          <w:rFonts w:ascii="Arial" w:hAnsi="Arial" w:cs="Arial"/>
        </w:rPr>
        <w:t>n revanche le</w:t>
      </w:r>
      <w:r w:rsidRPr="00706205">
        <w:rPr>
          <w:rFonts w:ascii="Arial" w:hAnsi="Arial" w:cs="Arial"/>
        </w:rPr>
        <w:t xml:space="preserve"> risque est </w:t>
      </w:r>
      <w:r w:rsidR="00D455D0">
        <w:rPr>
          <w:rFonts w:ascii="Arial" w:hAnsi="Arial" w:cs="Arial"/>
        </w:rPr>
        <w:t xml:space="preserve">supérieur chez </w:t>
      </w:r>
      <w:r w:rsidR="003D7975">
        <w:rPr>
          <w:rFonts w:ascii="Arial" w:hAnsi="Arial" w:cs="Arial"/>
        </w:rPr>
        <w:t>les patients</w:t>
      </w:r>
      <w:r w:rsidR="00D455D0">
        <w:rPr>
          <w:rFonts w:ascii="Arial" w:hAnsi="Arial" w:cs="Arial"/>
        </w:rPr>
        <w:t xml:space="preserve"> dont le RGO est très symptomatique,</w:t>
      </w:r>
      <w:r w:rsidRPr="00706205">
        <w:rPr>
          <w:rFonts w:ascii="Arial" w:hAnsi="Arial" w:cs="Arial"/>
        </w:rPr>
        <w:t xml:space="preserve"> par l’inte</w:t>
      </w:r>
      <w:r w:rsidR="003D7975">
        <w:rPr>
          <w:rFonts w:ascii="Arial" w:hAnsi="Arial" w:cs="Arial"/>
        </w:rPr>
        <w:t>nsité, la fréquence et la durée</w:t>
      </w:r>
      <w:r w:rsidRPr="00706205">
        <w:rPr>
          <w:rFonts w:ascii="Arial" w:hAnsi="Arial" w:cs="Arial"/>
        </w:rPr>
        <w:t xml:space="preserve">. </w:t>
      </w:r>
    </w:p>
    <w:p w:rsidR="00932549" w:rsidRPr="00AD6572" w:rsidRDefault="00AD6572" w:rsidP="007062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 Le Reflux entraîne des altérations de la muqueuse œsophagienne (œsophage de </w:t>
      </w:r>
      <w:proofErr w:type="spellStart"/>
      <w:r>
        <w:rPr>
          <w:rFonts w:ascii="Arial" w:hAnsi="Arial" w:cs="Arial"/>
        </w:rPr>
        <w:t>Barrett</w:t>
      </w:r>
      <w:proofErr w:type="spellEnd"/>
      <w:r>
        <w:rPr>
          <w:rFonts w:ascii="Arial" w:hAnsi="Arial" w:cs="Arial"/>
        </w:rPr>
        <w:t xml:space="preserve">) : celles-ci sont associées à un risque élevé de </w:t>
      </w:r>
      <w:r w:rsidRPr="00706205">
        <w:rPr>
          <w:rFonts w:ascii="Arial" w:hAnsi="Arial" w:cs="Arial"/>
        </w:rPr>
        <w:t>50 à 100 fois supérieur de développer un cancer</w:t>
      </w:r>
      <w:r>
        <w:rPr>
          <w:rFonts w:ascii="Arial" w:hAnsi="Arial" w:cs="Arial"/>
        </w:rPr>
        <w:t xml:space="preserve"> </w:t>
      </w:r>
      <w:r w:rsidR="00AF1976" w:rsidRPr="00706205">
        <w:rPr>
          <w:rFonts w:ascii="Arial" w:hAnsi="Arial" w:cs="Arial"/>
        </w:rPr>
        <w:t xml:space="preserve">ce qui justifie une surveillance endoscopique systématique  </w:t>
      </w:r>
      <w:r>
        <w:rPr>
          <w:rFonts w:ascii="Arial" w:hAnsi="Arial" w:cs="Arial"/>
        </w:rPr>
        <w:t>pour les patients déjà traités pour le RGO,</w:t>
      </w:r>
      <w:r w:rsidR="003761A7">
        <w:rPr>
          <w:rFonts w:ascii="Arial" w:hAnsi="Arial" w:cs="Arial"/>
        </w:rPr>
        <w:t xml:space="preserve">», indique Caroline </w:t>
      </w:r>
      <w:proofErr w:type="spellStart"/>
      <w:r w:rsidR="003761A7">
        <w:rPr>
          <w:rFonts w:ascii="Arial" w:hAnsi="Arial" w:cs="Arial"/>
        </w:rPr>
        <w:t>Gronnier</w:t>
      </w:r>
      <w:proofErr w:type="spellEnd"/>
      <w:r w:rsidR="00AF1976" w:rsidRPr="00706205">
        <w:rPr>
          <w:rFonts w:ascii="Arial" w:hAnsi="Arial" w:cs="Arial"/>
        </w:rPr>
        <w:t xml:space="preserve">. </w:t>
      </w:r>
    </w:p>
    <w:p w:rsidR="00DB5934" w:rsidRDefault="00DB5934" w:rsidP="00706205">
      <w:pPr>
        <w:spacing w:after="0"/>
        <w:jc w:val="both"/>
        <w:rPr>
          <w:rFonts w:ascii="Arial" w:hAnsi="Arial" w:cs="Arial"/>
          <w:b/>
        </w:rPr>
      </w:pPr>
    </w:p>
    <w:p w:rsidR="003761A7" w:rsidRDefault="00AF1976" w:rsidP="00706205">
      <w:pPr>
        <w:spacing w:after="0"/>
        <w:jc w:val="both"/>
        <w:rPr>
          <w:rFonts w:ascii="Arial" w:hAnsi="Arial" w:cs="Arial"/>
        </w:rPr>
      </w:pPr>
      <w:r w:rsidRPr="00706205">
        <w:rPr>
          <w:rFonts w:ascii="Arial" w:hAnsi="Arial" w:cs="Arial"/>
          <w:b/>
        </w:rPr>
        <w:t>L’obésité abdominale ou androïde</w:t>
      </w:r>
      <w:r w:rsidRPr="00706205">
        <w:rPr>
          <w:rFonts w:ascii="Arial" w:hAnsi="Arial" w:cs="Arial"/>
        </w:rPr>
        <w:t xml:space="preserve">, </w:t>
      </w:r>
      <w:r w:rsidR="00AD6572">
        <w:rPr>
          <w:rFonts w:ascii="Arial" w:hAnsi="Arial" w:cs="Arial"/>
        </w:rPr>
        <w:t xml:space="preserve">est le deuxième facteur de risque de cancer de la jonction oeso-gastrique. Elle est </w:t>
      </w:r>
      <w:r w:rsidRPr="00706205">
        <w:rPr>
          <w:rFonts w:ascii="Arial" w:hAnsi="Arial" w:cs="Arial"/>
        </w:rPr>
        <w:t xml:space="preserve">caractérisée par une augmentation du rapport taille/hanches, est associée à une augmentation du risque d’œsophagite, </w:t>
      </w:r>
      <w:r w:rsidR="00AD6572">
        <w:rPr>
          <w:rFonts w:ascii="Arial" w:hAnsi="Arial" w:cs="Arial"/>
        </w:rPr>
        <w:t>d’</w:t>
      </w:r>
      <w:r w:rsidR="00DB5934">
        <w:rPr>
          <w:rFonts w:ascii="Arial" w:hAnsi="Arial" w:cs="Arial"/>
        </w:rPr>
        <w:t>altérations</w:t>
      </w:r>
      <w:r w:rsidR="00AD6572">
        <w:rPr>
          <w:rFonts w:ascii="Arial" w:hAnsi="Arial" w:cs="Arial"/>
        </w:rPr>
        <w:t xml:space="preserve"> de la muqueuse </w:t>
      </w:r>
      <w:r w:rsidRPr="00706205">
        <w:rPr>
          <w:rFonts w:ascii="Arial" w:hAnsi="Arial" w:cs="Arial"/>
        </w:rPr>
        <w:t>et d</w:t>
      </w:r>
      <w:r w:rsidR="00AD6572">
        <w:rPr>
          <w:rFonts w:ascii="Arial" w:hAnsi="Arial" w:cs="Arial"/>
        </w:rPr>
        <w:t>e cancer</w:t>
      </w:r>
      <w:r w:rsidRPr="00706205">
        <w:rPr>
          <w:rFonts w:ascii="Arial" w:hAnsi="Arial" w:cs="Arial"/>
        </w:rPr>
        <w:t xml:space="preserve"> pou</w:t>
      </w:r>
      <w:r w:rsidR="00AD6572">
        <w:rPr>
          <w:rFonts w:ascii="Arial" w:hAnsi="Arial" w:cs="Arial"/>
        </w:rPr>
        <w:t xml:space="preserve">r lequel l’odd ratio est de 1 chance sur 2,5, </w:t>
      </w:r>
      <w:r w:rsidRPr="00706205">
        <w:rPr>
          <w:rFonts w:ascii="Arial" w:hAnsi="Arial" w:cs="Arial"/>
        </w:rPr>
        <w:t>L’augmentation de la pression intra-abdominale induite par l’obésité favorise le RGO et donc ses con</w:t>
      </w:r>
      <w:r w:rsidR="003761A7">
        <w:rPr>
          <w:rFonts w:ascii="Arial" w:hAnsi="Arial" w:cs="Arial"/>
        </w:rPr>
        <w:t>séquences sur la muqueuse de l’œsophage.</w:t>
      </w:r>
    </w:p>
    <w:p w:rsidR="00AD6572" w:rsidRDefault="00AF1976" w:rsidP="00706205">
      <w:pPr>
        <w:spacing w:after="0"/>
        <w:jc w:val="both"/>
        <w:rPr>
          <w:rFonts w:ascii="Arial" w:hAnsi="Arial" w:cs="Arial"/>
        </w:rPr>
      </w:pPr>
      <w:r w:rsidRPr="00706205">
        <w:rPr>
          <w:rFonts w:ascii="Arial" w:hAnsi="Arial" w:cs="Arial"/>
        </w:rPr>
        <w:t xml:space="preserve">Cependant, l’augmentation du risque de cancer n’est pas liée uniquement au RGO : </w:t>
      </w:r>
      <w:r w:rsidR="00AD6572">
        <w:rPr>
          <w:rFonts w:ascii="Arial" w:hAnsi="Arial" w:cs="Arial"/>
        </w:rPr>
        <w:t>il est probable que l’obésité agisse par elle-même par les modifications inflammatoires et immunitaires qu’elle induit.</w:t>
      </w:r>
    </w:p>
    <w:p w:rsidR="00AD6572" w:rsidRDefault="00AD6572" w:rsidP="00706205">
      <w:pPr>
        <w:spacing w:after="0"/>
        <w:jc w:val="both"/>
        <w:rPr>
          <w:rFonts w:ascii="Arial" w:hAnsi="Arial" w:cs="Arial"/>
        </w:rPr>
      </w:pPr>
    </w:p>
    <w:p w:rsidR="00932549" w:rsidRPr="00706205" w:rsidRDefault="00AD6572" w:rsidP="0070620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313F">
        <w:rPr>
          <w:rFonts w:ascii="Arial" w:hAnsi="Arial" w:cs="Arial"/>
        </w:rPr>
        <w:t>« </w:t>
      </w:r>
      <w:r w:rsidR="00AF1976" w:rsidRPr="00706205">
        <w:rPr>
          <w:rFonts w:ascii="Arial" w:hAnsi="Arial" w:cs="Arial"/>
        </w:rPr>
        <w:t xml:space="preserve">Le RGO et l’obésité abdominale ont ainsi un effet synergique </w:t>
      </w:r>
      <w:r w:rsidR="00932549" w:rsidRPr="00706205">
        <w:rPr>
          <w:rFonts w:ascii="Arial" w:hAnsi="Arial" w:cs="Arial"/>
        </w:rPr>
        <w:t>sur le cancer de l’œsophage</w:t>
      </w:r>
      <w:r>
        <w:rPr>
          <w:rFonts w:ascii="Arial" w:hAnsi="Arial" w:cs="Arial"/>
        </w:rPr>
        <w:t xml:space="preserve"> et de la jonction oeso-gastrique</w:t>
      </w:r>
      <w:r w:rsidR="00932549" w:rsidRPr="00706205">
        <w:rPr>
          <w:rFonts w:ascii="Arial" w:hAnsi="Arial" w:cs="Arial"/>
        </w:rPr>
        <w:t> :</w:t>
      </w:r>
      <w:r w:rsidR="00AF1976" w:rsidRPr="00706205">
        <w:rPr>
          <w:rFonts w:ascii="Arial" w:hAnsi="Arial" w:cs="Arial"/>
        </w:rPr>
        <w:t xml:space="preserve"> </w:t>
      </w:r>
      <w:r w:rsidR="00AF1976" w:rsidRPr="00706205">
        <w:rPr>
          <w:rFonts w:ascii="Arial" w:hAnsi="Arial" w:cs="Arial"/>
          <w:b/>
        </w:rPr>
        <w:t>chez des patients obèses morbides souffrant d’un RGO, le risque</w:t>
      </w:r>
      <w:r w:rsidR="00932549" w:rsidRPr="00706205">
        <w:rPr>
          <w:rFonts w:ascii="Arial" w:hAnsi="Arial" w:cs="Arial"/>
          <w:b/>
        </w:rPr>
        <w:t xml:space="preserve"> de cancer est multiplié par 5</w:t>
      </w:r>
      <w:r w:rsidR="00C9313F">
        <w:rPr>
          <w:rFonts w:ascii="Arial" w:hAnsi="Arial" w:cs="Arial"/>
          <w:b/>
        </w:rPr>
        <w:t> », souligne Denis Collet</w:t>
      </w:r>
      <w:r w:rsidR="00AF1976" w:rsidRPr="00706205">
        <w:rPr>
          <w:rFonts w:ascii="Arial" w:hAnsi="Arial" w:cs="Arial"/>
          <w:b/>
        </w:rPr>
        <w:t>.</w:t>
      </w:r>
      <w:r w:rsidR="00932549" w:rsidRPr="00706205">
        <w:rPr>
          <w:rFonts w:ascii="Arial" w:hAnsi="Arial" w:cs="Arial"/>
        </w:rPr>
        <w:t xml:space="preserve"> </w:t>
      </w:r>
    </w:p>
    <w:p w:rsidR="00D70E9C" w:rsidRDefault="00CF103E" w:rsidP="003761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facteurs alimentaires entrent en compte mais de façon moins importante : u</w:t>
      </w:r>
      <w:r w:rsidR="00AF1976" w:rsidRPr="00706205">
        <w:rPr>
          <w:rFonts w:ascii="Arial" w:hAnsi="Arial" w:cs="Arial"/>
        </w:rPr>
        <w:t>ne alimentation riche en viande et graisses animales est associée à une augmentation significative des cancers de la JOG, à l’inverse, une alimentation riche en fibres et en fruits semble avoir un effet protecteur.</w:t>
      </w:r>
    </w:p>
    <w:p w:rsidR="00DB5934" w:rsidRDefault="00DB5934" w:rsidP="003761A7">
      <w:pPr>
        <w:spacing w:after="0"/>
        <w:jc w:val="both"/>
        <w:rPr>
          <w:rFonts w:ascii="Arial" w:hAnsi="Arial" w:cs="Arial"/>
        </w:rPr>
      </w:pPr>
    </w:p>
    <w:p w:rsidR="00DB5934" w:rsidRPr="00DB5934" w:rsidRDefault="00DB5934" w:rsidP="00DB5934">
      <w:pPr>
        <w:spacing w:after="160" w:line="259" w:lineRule="auto"/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</w:pPr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Le </w:t>
      </w:r>
      <w:r w:rsidRPr="00DB5934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120ème Congrès Français de Chirurgie</w:t>
      </w:r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 organisé par l</w:t>
      </w:r>
      <w:r w:rsidRPr="00DB5934">
        <w:rPr>
          <w:rFonts w:ascii="Arial" w:hAnsi="Arial" w:cs="Arial"/>
          <w:b/>
          <w:i/>
          <w:color w:val="363B29"/>
          <w:sz w:val="19"/>
          <w:szCs w:val="19"/>
          <w:shd w:val="clear" w:color="auto" w:fill="FFFFFF"/>
        </w:rPr>
        <w:t>'</w:t>
      </w:r>
      <w:r w:rsidRPr="00DB5934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Association Française de Chirurgie</w:t>
      </w:r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 se tiendra au</w:t>
      </w:r>
      <w:r w:rsidRPr="00DB5934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 Palais des Congrès</w:t>
      </w:r>
      <w:r w:rsidRPr="00DB5934">
        <w:rPr>
          <w:rFonts w:ascii="Arial" w:hAnsi="Arial" w:cs="Arial"/>
          <w:b/>
          <w:i/>
          <w:color w:val="363B29"/>
          <w:sz w:val="19"/>
          <w:szCs w:val="19"/>
          <w:shd w:val="clear" w:color="auto" w:fill="FFFFFF"/>
        </w:rPr>
        <w:t> </w:t>
      </w:r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du </w:t>
      </w:r>
      <w:r w:rsidRPr="00DB5934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19 au 21 Septembre 2018</w:t>
      </w:r>
      <w:r w:rsidRPr="00DB5934">
        <w:rPr>
          <w:rFonts w:ascii="Arial" w:hAnsi="Arial" w:cs="Arial"/>
          <w:b/>
          <w:i/>
          <w:color w:val="363B29"/>
          <w:sz w:val="19"/>
          <w:szCs w:val="19"/>
          <w:shd w:val="clear" w:color="auto" w:fill="FFFFFF"/>
        </w:rPr>
        <w:t>.</w:t>
      </w:r>
      <w:r w:rsidRPr="00DB5934">
        <w:rPr>
          <w:rFonts w:ascii="Arial" w:hAnsi="Arial" w:cs="Arial"/>
          <w:i/>
          <w:color w:val="363B29"/>
          <w:sz w:val="19"/>
          <w:szCs w:val="19"/>
        </w:rPr>
        <w:t xml:space="preserve"> </w:t>
      </w:r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Il s’agit du</w:t>
      </w:r>
      <w:r w:rsidRPr="00DB5934">
        <w:rPr>
          <w:rFonts w:ascii="Arial" w:hAnsi="Arial" w:cs="Arial"/>
          <w:b/>
          <w:i/>
          <w:color w:val="363B29"/>
          <w:sz w:val="19"/>
          <w:szCs w:val="19"/>
          <w:shd w:val="clear" w:color="auto" w:fill="FFFFFF"/>
        </w:rPr>
        <w:t> </w:t>
      </w:r>
      <w:r w:rsidRPr="00DB5934">
        <w:rPr>
          <w:rFonts w:ascii="Arial" w:hAnsi="Arial" w:cs="Arial"/>
          <w:bCs/>
          <w:i/>
          <w:color w:val="363B29"/>
          <w:sz w:val="19"/>
          <w:szCs w:val="19"/>
          <w:shd w:val="clear" w:color="auto" w:fill="FFFFFF"/>
        </w:rPr>
        <w:t>rendez-vous incontournable de la discipline</w:t>
      </w:r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, où chaque année près de 2000 chirurgiens se retrouvent pour des échanges concernant l'actualité scientifique et technique de la chirurgie viscérale, digestive et oncologique. Les grands thèmes abordés: chirurgie oeso-gastrique, hépato-</w:t>
      </w:r>
      <w:proofErr w:type="spellStart"/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bilio</w:t>
      </w:r>
      <w:proofErr w:type="spellEnd"/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 pancréatique, </w:t>
      </w:r>
      <w:proofErr w:type="spellStart"/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>colo-rectale</w:t>
      </w:r>
      <w:proofErr w:type="spellEnd"/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, endocrinienne, pariétale et bariatrique. Plus d’infos : </w:t>
      </w:r>
      <w:hyperlink r:id="rId6" w:history="1">
        <w:r w:rsidRPr="00DB5934">
          <w:rPr>
            <w:rFonts w:ascii="Arial" w:hAnsi="Arial" w:cs="Arial"/>
            <w:i/>
            <w:color w:val="0563C1" w:themeColor="hyperlink"/>
            <w:sz w:val="19"/>
            <w:szCs w:val="19"/>
            <w:u w:val="single"/>
            <w:shd w:val="clear" w:color="auto" w:fill="FFFFFF"/>
          </w:rPr>
          <w:t>www.congres-afc.fr</w:t>
        </w:r>
      </w:hyperlink>
      <w:r w:rsidRPr="00DB5934">
        <w:rPr>
          <w:rFonts w:ascii="Arial" w:hAnsi="Arial" w:cs="Arial"/>
          <w:i/>
          <w:color w:val="363B29"/>
          <w:sz w:val="19"/>
          <w:szCs w:val="19"/>
          <w:shd w:val="clear" w:color="auto" w:fill="FFFFFF"/>
        </w:rPr>
        <w:t xml:space="preserve"> et </w:t>
      </w:r>
      <w:r w:rsidRPr="00DB5934">
        <w:rPr>
          <w:rFonts w:ascii="Arial" w:hAnsi="Arial" w:cs="Arial"/>
          <w:i/>
          <w:sz w:val="19"/>
          <w:szCs w:val="19"/>
          <w:shd w:val="clear" w:color="auto" w:fill="FFFFFF"/>
        </w:rPr>
        <w:t>http://afc.chirurgie-viscerale.org/</w:t>
      </w:r>
    </w:p>
    <w:p w:rsidR="00DB5934" w:rsidRPr="003761A7" w:rsidRDefault="00DB5934" w:rsidP="003761A7">
      <w:pPr>
        <w:spacing w:after="0"/>
        <w:jc w:val="both"/>
        <w:rPr>
          <w:rFonts w:ascii="Arial" w:hAnsi="Arial" w:cs="Arial"/>
        </w:rPr>
      </w:pPr>
    </w:p>
    <w:sectPr w:rsidR="00DB5934" w:rsidRPr="003761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24" w:rsidRDefault="00F72424" w:rsidP="00B851AC">
      <w:pPr>
        <w:spacing w:after="0" w:line="240" w:lineRule="auto"/>
      </w:pPr>
      <w:r>
        <w:separator/>
      </w:r>
    </w:p>
  </w:endnote>
  <w:endnote w:type="continuationSeparator" w:id="0">
    <w:p w:rsidR="00F72424" w:rsidRDefault="00F72424" w:rsidP="00B8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34" w:rsidRPr="00DB5934" w:rsidRDefault="00DB5934" w:rsidP="00DB5934">
    <w:pPr>
      <w:pStyle w:val="Pieddepage"/>
      <w:jc w:val="center"/>
      <w:rPr>
        <w:rFonts w:ascii="Arial" w:hAnsi="Arial" w:cs="Arial"/>
        <w:i/>
        <w:sz w:val="20"/>
      </w:rPr>
    </w:pPr>
    <w:r w:rsidRPr="00DB5934">
      <w:rPr>
        <w:rFonts w:ascii="Arial" w:hAnsi="Arial" w:cs="Arial"/>
        <w:i/>
        <w:sz w:val="20"/>
      </w:rPr>
      <w:t xml:space="preserve">Contact Presse : Sylvie </w:t>
    </w:r>
    <w:proofErr w:type="spellStart"/>
    <w:r w:rsidRPr="00DB5934">
      <w:rPr>
        <w:rFonts w:ascii="Arial" w:hAnsi="Arial" w:cs="Arial"/>
        <w:i/>
        <w:sz w:val="20"/>
      </w:rPr>
      <w:t>Merran</w:t>
    </w:r>
    <w:proofErr w:type="spellEnd"/>
    <w:r w:rsidRPr="00DB5934">
      <w:rPr>
        <w:rFonts w:ascii="Arial" w:hAnsi="Arial" w:cs="Arial"/>
        <w:i/>
        <w:sz w:val="20"/>
      </w:rPr>
      <w:t xml:space="preserve"> Ifrah – 06 03 03 90 87 – smerran@agencebluemoon.fr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24" w:rsidRDefault="00F72424" w:rsidP="00B851AC">
      <w:pPr>
        <w:spacing w:after="0" w:line="240" w:lineRule="auto"/>
      </w:pPr>
      <w:r>
        <w:separator/>
      </w:r>
    </w:p>
  </w:footnote>
  <w:footnote w:type="continuationSeparator" w:id="0">
    <w:p w:rsidR="00F72424" w:rsidRDefault="00F72424" w:rsidP="00B8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AC" w:rsidRDefault="00B851AC">
    <w:pPr>
      <w:pStyle w:val="En-tte"/>
    </w:pPr>
    <w:r>
      <w:rPr>
        <w:noProof/>
        <w:lang w:eastAsia="fr-FR"/>
      </w:rPr>
      <w:drawing>
        <wp:inline distT="0" distB="0" distL="0" distR="0">
          <wp:extent cx="4274820" cy="986058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AFC 2018 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973" cy="9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76"/>
    <w:rsid w:val="00003730"/>
    <w:rsid w:val="0001070C"/>
    <w:rsid w:val="00020214"/>
    <w:rsid w:val="00026DB9"/>
    <w:rsid w:val="000420F3"/>
    <w:rsid w:val="00042A8C"/>
    <w:rsid w:val="00046117"/>
    <w:rsid w:val="000525BD"/>
    <w:rsid w:val="000568A8"/>
    <w:rsid w:val="00066867"/>
    <w:rsid w:val="00081DCA"/>
    <w:rsid w:val="00084151"/>
    <w:rsid w:val="000954D4"/>
    <w:rsid w:val="00097F3E"/>
    <w:rsid w:val="000B5856"/>
    <w:rsid w:val="000B5AAB"/>
    <w:rsid w:val="000B7F4B"/>
    <w:rsid w:val="000E234C"/>
    <w:rsid w:val="000F7A45"/>
    <w:rsid w:val="00103474"/>
    <w:rsid w:val="00115799"/>
    <w:rsid w:val="00116E39"/>
    <w:rsid w:val="0012452F"/>
    <w:rsid w:val="001403F3"/>
    <w:rsid w:val="00147083"/>
    <w:rsid w:val="001550CF"/>
    <w:rsid w:val="00162AFB"/>
    <w:rsid w:val="00164EB3"/>
    <w:rsid w:val="001706F9"/>
    <w:rsid w:val="00170860"/>
    <w:rsid w:val="00174EAB"/>
    <w:rsid w:val="00184F6D"/>
    <w:rsid w:val="001869E4"/>
    <w:rsid w:val="00187E01"/>
    <w:rsid w:val="00191B52"/>
    <w:rsid w:val="00196ED5"/>
    <w:rsid w:val="001B46EA"/>
    <w:rsid w:val="001C05DC"/>
    <w:rsid w:val="001D3F87"/>
    <w:rsid w:val="001D588D"/>
    <w:rsid w:val="001D771A"/>
    <w:rsid w:val="001E0368"/>
    <w:rsid w:val="001E5A99"/>
    <w:rsid w:val="001E7C76"/>
    <w:rsid w:val="001F75C9"/>
    <w:rsid w:val="00202691"/>
    <w:rsid w:val="0020677A"/>
    <w:rsid w:val="00210C23"/>
    <w:rsid w:val="00211333"/>
    <w:rsid w:val="002167F7"/>
    <w:rsid w:val="002332AD"/>
    <w:rsid w:val="002340BF"/>
    <w:rsid w:val="00251483"/>
    <w:rsid w:val="00253E04"/>
    <w:rsid w:val="002632A1"/>
    <w:rsid w:val="00266060"/>
    <w:rsid w:val="002962CE"/>
    <w:rsid w:val="002B3A16"/>
    <w:rsid w:val="002D4F8C"/>
    <w:rsid w:val="002E2015"/>
    <w:rsid w:val="002E4B27"/>
    <w:rsid w:val="002E70E1"/>
    <w:rsid w:val="00305DD3"/>
    <w:rsid w:val="003153A2"/>
    <w:rsid w:val="003335E4"/>
    <w:rsid w:val="0034176E"/>
    <w:rsid w:val="00342A85"/>
    <w:rsid w:val="00342F23"/>
    <w:rsid w:val="0035011C"/>
    <w:rsid w:val="00357401"/>
    <w:rsid w:val="003629F6"/>
    <w:rsid w:val="00374FCE"/>
    <w:rsid w:val="003761A7"/>
    <w:rsid w:val="00380429"/>
    <w:rsid w:val="00381C13"/>
    <w:rsid w:val="00382C14"/>
    <w:rsid w:val="00383AE1"/>
    <w:rsid w:val="00384712"/>
    <w:rsid w:val="003A4D77"/>
    <w:rsid w:val="003A611C"/>
    <w:rsid w:val="003C1E31"/>
    <w:rsid w:val="003D7130"/>
    <w:rsid w:val="003D73F4"/>
    <w:rsid w:val="003D7975"/>
    <w:rsid w:val="003E381D"/>
    <w:rsid w:val="003E6F3A"/>
    <w:rsid w:val="003E77E6"/>
    <w:rsid w:val="003F0ABC"/>
    <w:rsid w:val="003F1E8C"/>
    <w:rsid w:val="003F2581"/>
    <w:rsid w:val="003F64C1"/>
    <w:rsid w:val="00400BD7"/>
    <w:rsid w:val="00403010"/>
    <w:rsid w:val="0040386B"/>
    <w:rsid w:val="0040595E"/>
    <w:rsid w:val="004218FA"/>
    <w:rsid w:val="0042253B"/>
    <w:rsid w:val="00424577"/>
    <w:rsid w:val="0043213C"/>
    <w:rsid w:val="00436C10"/>
    <w:rsid w:val="00444DF9"/>
    <w:rsid w:val="00472CD0"/>
    <w:rsid w:val="00475128"/>
    <w:rsid w:val="004912CD"/>
    <w:rsid w:val="00491703"/>
    <w:rsid w:val="004A1EEF"/>
    <w:rsid w:val="004A73D5"/>
    <w:rsid w:val="004C0571"/>
    <w:rsid w:val="004C05D2"/>
    <w:rsid w:val="004C2057"/>
    <w:rsid w:val="004C5403"/>
    <w:rsid w:val="004D3719"/>
    <w:rsid w:val="004E3AAD"/>
    <w:rsid w:val="004E448F"/>
    <w:rsid w:val="00501A97"/>
    <w:rsid w:val="00513112"/>
    <w:rsid w:val="00526601"/>
    <w:rsid w:val="00530454"/>
    <w:rsid w:val="00535FEB"/>
    <w:rsid w:val="00537B47"/>
    <w:rsid w:val="00537C05"/>
    <w:rsid w:val="00540AC4"/>
    <w:rsid w:val="00556FE5"/>
    <w:rsid w:val="00561349"/>
    <w:rsid w:val="005B0A62"/>
    <w:rsid w:val="005B25AD"/>
    <w:rsid w:val="005B2BBD"/>
    <w:rsid w:val="005D246C"/>
    <w:rsid w:val="005D2E6E"/>
    <w:rsid w:val="005D70A5"/>
    <w:rsid w:val="005E0CFF"/>
    <w:rsid w:val="006045D8"/>
    <w:rsid w:val="00605676"/>
    <w:rsid w:val="00613C01"/>
    <w:rsid w:val="00616F60"/>
    <w:rsid w:val="00625932"/>
    <w:rsid w:val="0063171B"/>
    <w:rsid w:val="00634F53"/>
    <w:rsid w:val="00642D17"/>
    <w:rsid w:val="006454FB"/>
    <w:rsid w:val="00647743"/>
    <w:rsid w:val="00654760"/>
    <w:rsid w:val="00656887"/>
    <w:rsid w:val="00671FCE"/>
    <w:rsid w:val="00684716"/>
    <w:rsid w:val="00684967"/>
    <w:rsid w:val="006856C0"/>
    <w:rsid w:val="006B0558"/>
    <w:rsid w:val="006B2B5C"/>
    <w:rsid w:val="006D4FFB"/>
    <w:rsid w:val="006E072E"/>
    <w:rsid w:val="006E7CD6"/>
    <w:rsid w:val="006F60B1"/>
    <w:rsid w:val="00701908"/>
    <w:rsid w:val="00706205"/>
    <w:rsid w:val="00710653"/>
    <w:rsid w:val="00734AD8"/>
    <w:rsid w:val="007470AF"/>
    <w:rsid w:val="0075627D"/>
    <w:rsid w:val="007648D9"/>
    <w:rsid w:val="007736C2"/>
    <w:rsid w:val="00783F3C"/>
    <w:rsid w:val="007902B9"/>
    <w:rsid w:val="007948F3"/>
    <w:rsid w:val="007A7E66"/>
    <w:rsid w:val="007D0A56"/>
    <w:rsid w:val="007D34F7"/>
    <w:rsid w:val="007D569D"/>
    <w:rsid w:val="007D7421"/>
    <w:rsid w:val="007E0138"/>
    <w:rsid w:val="007E751A"/>
    <w:rsid w:val="007F3A3C"/>
    <w:rsid w:val="007F5D52"/>
    <w:rsid w:val="007F7B6D"/>
    <w:rsid w:val="00801049"/>
    <w:rsid w:val="00803F95"/>
    <w:rsid w:val="00804E4C"/>
    <w:rsid w:val="00806A77"/>
    <w:rsid w:val="00807FE8"/>
    <w:rsid w:val="00814D6E"/>
    <w:rsid w:val="008333BE"/>
    <w:rsid w:val="00841D05"/>
    <w:rsid w:val="00846B53"/>
    <w:rsid w:val="0084768F"/>
    <w:rsid w:val="008543CA"/>
    <w:rsid w:val="00860BAD"/>
    <w:rsid w:val="00875641"/>
    <w:rsid w:val="00876221"/>
    <w:rsid w:val="00885A65"/>
    <w:rsid w:val="0089797A"/>
    <w:rsid w:val="008A16F6"/>
    <w:rsid w:val="008A61A8"/>
    <w:rsid w:val="008B5856"/>
    <w:rsid w:val="008C63A1"/>
    <w:rsid w:val="008D0B56"/>
    <w:rsid w:val="008D4A8C"/>
    <w:rsid w:val="008E6256"/>
    <w:rsid w:val="00901EDE"/>
    <w:rsid w:val="0091035B"/>
    <w:rsid w:val="00913711"/>
    <w:rsid w:val="00922399"/>
    <w:rsid w:val="00926474"/>
    <w:rsid w:val="0093120D"/>
    <w:rsid w:val="00932549"/>
    <w:rsid w:val="009367AE"/>
    <w:rsid w:val="009407DB"/>
    <w:rsid w:val="009442B9"/>
    <w:rsid w:val="009464CF"/>
    <w:rsid w:val="00951A78"/>
    <w:rsid w:val="00960CBD"/>
    <w:rsid w:val="00970929"/>
    <w:rsid w:val="009916B8"/>
    <w:rsid w:val="009C7DE2"/>
    <w:rsid w:val="009E1D14"/>
    <w:rsid w:val="009E78A0"/>
    <w:rsid w:val="00A06A7C"/>
    <w:rsid w:val="00A22DC5"/>
    <w:rsid w:val="00A404F3"/>
    <w:rsid w:val="00A45ED7"/>
    <w:rsid w:val="00A65F09"/>
    <w:rsid w:val="00A73A9E"/>
    <w:rsid w:val="00A8466C"/>
    <w:rsid w:val="00AA6ED7"/>
    <w:rsid w:val="00AC36FB"/>
    <w:rsid w:val="00AC596C"/>
    <w:rsid w:val="00AC7CD5"/>
    <w:rsid w:val="00AD6572"/>
    <w:rsid w:val="00AF1976"/>
    <w:rsid w:val="00B0062A"/>
    <w:rsid w:val="00B14C14"/>
    <w:rsid w:val="00B1539F"/>
    <w:rsid w:val="00B30FBC"/>
    <w:rsid w:val="00B3646A"/>
    <w:rsid w:val="00B57CD2"/>
    <w:rsid w:val="00B60104"/>
    <w:rsid w:val="00B66E77"/>
    <w:rsid w:val="00B7724E"/>
    <w:rsid w:val="00B81C2D"/>
    <w:rsid w:val="00B851AC"/>
    <w:rsid w:val="00B92BA6"/>
    <w:rsid w:val="00BA1DF2"/>
    <w:rsid w:val="00BB4234"/>
    <w:rsid w:val="00BD095B"/>
    <w:rsid w:val="00BD7F11"/>
    <w:rsid w:val="00BE37DE"/>
    <w:rsid w:val="00BE6746"/>
    <w:rsid w:val="00BF573C"/>
    <w:rsid w:val="00C11747"/>
    <w:rsid w:val="00C24627"/>
    <w:rsid w:val="00C26419"/>
    <w:rsid w:val="00C30538"/>
    <w:rsid w:val="00C510E2"/>
    <w:rsid w:val="00C610D6"/>
    <w:rsid w:val="00C85719"/>
    <w:rsid w:val="00C92D94"/>
    <w:rsid w:val="00C9313F"/>
    <w:rsid w:val="00CA07AB"/>
    <w:rsid w:val="00CA278C"/>
    <w:rsid w:val="00CB0385"/>
    <w:rsid w:val="00CD2AA4"/>
    <w:rsid w:val="00CD2BE9"/>
    <w:rsid w:val="00CE2C9E"/>
    <w:rsid w:val="00CF103E"/>
    <w:rsid w:val="00CF7F26"/>
    <w:rsid w:val="00D14864"/>
    <w:rsid w:val="00D22656"/>
    <w:rsid w:val="00D2430C"/>
    <w:rsid w:val="00D308D7"/>
    <w:rsid w:val="00D35467"/>
    <w:rsid w:val="00D35B41"/>
    <w:rsid w:val="00D42293"/>
    <w:rsid w:val="00D433B7"/>
    <w:rsid w:val="00D455D0"/>
    <w:rsid w:val="00D4668D"/>
    <w:rsid w:val="00D554B3"/>
    <w:rsid w:val="00D5598B"/>
    <w:rsid w:val="00D5620D"/>
    <w:rsid w:val="00D62DAF"/>
    <w:rsid w:val="00D70E9C"/>
    <w:rsid w:val="00D74C05"/>
    <w:rsid w:val="00D80BAB"/>
    <w:rsid w:val="00D931D4"/>
    <w:rsid w:val="00DA006C"/>
    <w:rsid w:val="00DA0FDA"/>
    <w:rsid w:val="00DA4067"/>
    <w:rsid w:val="00DA5C39"/>
    <w:rsid w:val="00DB4624"/>
    <w:rsid w:val="00DB52CE"/>
    <w:rsid w:val="00DB5934"/>
    <w:rsid w:val="00DB7F72"/>
    <w:rsid w:val="00DC0346"/>
    <w:rsid w:val="00DE7BD2"/>
    <w:rsid w:val="00DF3500"/>
    <w:rsid w:val="00E0072F"/>
    <w:rsid w:val="00E10061"/>
    <w:rsid w:val="00E22722"/>
    <w:rsid w:val="00E22985"/>
    <w:rsid w:val="00E230B9"/>
    <w:rsid w:val="00E25FAE"/>
    <w:rsid w:val="00E300F2"/>
    <w:rsid w:val="00E40705"/>
    <w:rsid w:val="00E41F44"/>
    <w:rsid w:val="00E458E0"/>
    <w:rsid w:val="00E4777D"/>
    <w:rsid w:val="00E54A1E"/>
    <w:rsid w:val="00E56D70"/>
    <w:rsid w:val="00E61116"/>
    <w:rsid w:val="00E74880"/>
    <w:rsid w:val="00E7518F"/>
    <w:rsid w:val="00E96A51"/>
    <w:rsid w:val="00EA009C"/>
    <w:rsid w:val="00EA6B9E"/>
    <w:rsid w:val="00EB5DF7"/>
    <w:rsid w:val="00EB6F70"/>
    <w:rsid w:val="00EC3967"/>
    <w:rsid w:val="00EC78E5"/>
    <w:rsid w:val="00ED0A28"/>
    <w:rsid w:val="00ED73AB"/>
    <w:rsid w:val="00ED7DFC"/>
    <w:rsid w:val="00EE1D6D"/>
    <w:rsid w:val="00EE5AFC"/>
    <w:rsid w:val="00EF3F48"/>
    <w:rsid w:val="00EF7D33"/>
    <w:rsid w:val="00F112FA"/>
    <w:rsid w:val="00F11A58"/>
    <w:rsid w:val="00F45FC2"/>
    <w:rsid w:val="00F57011"/>
    <w:rsid w:val="00F661CC"/>
    <w:rsid w:val="00F718AC"/>
    <w:rsid w:val="00F72424"/>
    <w:rsid w:val="00F82300"/>
    <w:rsid w:val="00FC52F7"/>
    <w:rsid w:val="00FD241F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505B7-A8BE-42C6-B42B-3F90B221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7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1AC"/>
  </w:style>
  <w:style w:type="paragraph" w:styleId="Pieddepage">
    <w:name w:val="footer"/>
    <w:basedOn w:val="Normal"/>
    <w:link w:val="PieddepageCar"/>
    <w:uiPriority w:val="99"/>
    <w:unhideWhenUsed/>
    <w:rsid w:val="00B8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1AC"/>
  </w:style>
  <w:style w:type="paragraph" w:styleId="Textedebulles">
    <w:name w:val="Balloon Text"/>
    <w:basedOn w:val="Normal"/>
    <w:link w:val="TextedebullesCar"/>
    <w:uiPriority w:val="99"/>
    <w:semiHidden/>
    <w:unhideWhenUsed/>
    <w:rsid w:val="003D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gres-afc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Ifrah</dc:creator>
  <cp:lastModifiedBy>Sylvie Ifrah</cp:lastModifiedBy>
  <cp:revision>2</cp:revision>
  <dcterms:created xsi:type="dcterms:W3CDTF">2018-09-10T08:33:00Z</dcterms:created>
  <dcterms:modified xsi:type="dcterms:W3CDTF">2018-09-10T08:33:00Z</dcterms:modified>
</cp:coreProperties>
</file>